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335081" w:rsidRDefault="007A42AD" w:rsidP="00335081">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Пояснительная записка</w:t>
      </w:r>
    </w:p>
    <w:p w:rsidR="00407610" w:rsidRDefault="007A42AD" w:rsidP="0033508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color w:val="000000"/>
          <w:sz w:val="28"/>
          <w:szCs w:val="28"/>
        </w:rPr>
        <w:t>к докладу главы по оценке эффективности ОМСУ (607 указ)</w:t>
      </w: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335081" w:rsidRDefault="00335081">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407610" w:rsidRPr="00335081" w:rsidRDefault="007A42AD" w:rsidP="0033508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35081">
        <w:rPr>
          <w:rFonts w:ascii="Times New Roman CYR" w:hAnsi="Times New Roman CYR" w:cs="Times New Roman CYR"/>
          <w:b/>
          <w:bCs/>
          <w:color w:val="000000"/>
          <w:sz w:val="24"/>
          <w:szCs w:val="24"/>
        </w:rPr>
        <w:t xml:space="preserve">I. Экономическое развитие </w:t>
      </w:r>
    </w:p>
    <w:p w:rsidR="00407610" w:rsidRPr="00335081" w:rsidRDefault="00407610" w:rsidP="00335081">
      <w:pPr>
        <w:widowControl w:val="0"/>
        <w:autoSpaceDE w:val="0"/>
        <w:autoSpaceDN w:val="0"/>
        <w:adjustRightInd w:val="0"/>
        <w:spacing w:after="0" w:line="240" w:lineRule="auto"/>
        <w:jc w:val="both"/>
        <w:rPr>
          <w:rFonts w:ascii="Times New Roman CYR" w:hAnsi="Times New Roman CYR" w:cs="Times New Roman CYR"/>
          <w:sz w:val="24"/>
          <w:szCs w:val="24"/>
        </w:rPr>
      </w:pPr>
    </w:p>
    <w:p w:rsidR="00335081" w:rsidRPr="00335081" w:rsidRDefault="007A42AD" w:rsidP="00335081">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sidRPr="00335081">
        <w:rPr>
          <w:rFonts w:ascii="Times New Roman CYR" w:hAnsi="Times New Roman CYR" w:cs="Times New Roman CYR"/>
          <w:b/>
          <w:bCs/>
          <w:color w:val="000000"/>
          <w:sz w:val="24"/>
          <w:szCs w:val="24"/>
        </w:rPr>
        <w:t>1.Число субъектов малого и среднего предпринимательства</w:t>
      </w:r>
    </w:p>
    <w:p w:rsidR="00407610" w:rsidRPr="00335081" w:rsidRDefault="007A42AD" w:rsidP="0033508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35081">
        <w:rPr>
          <w:rFonts w:ascii="Times New Roman CYR" w:hAnsi="Times New Roman CYR" w:cs="Times New Roman CYR"/>
          <w:b/>
          <w:bCs/>
          <w:color w:val="000000"/>
          <w:sz w:val="24"/>
          <w:szCs w:val="24"/>
        </w:rPr>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Предприятия малого бизнеса представлены практически во всех отраслях экономики города, более половины предпринимателей занимаются торговлей и оказанием услуг, весьма незначительной остается доля малого бизнеса в производстве, промышленной и жилищно-коммунальной сфере. В отчетном периоде осуществляли деятельность 477 субъектов малого предпринимательства, (</w:t>
      </w:r>
      <w:r>
        <w:rPr>
          <w:rFonts w:ascii="Times New Roman CYR" w:hAnsi="Times New Roman CYR" w:cs="Times New Roman CYR"/>
          <w:b/>
          <w:bCs/>
          <w:i/>
          <w:iCs/>
          <w:sz w:val="24"/>
          <w:szCs w:val="24"/>
        </w:rPr>
        <w:t>субъекты среднего предпринимательства на территории не зарегистрированы</w:t>
      </w:r>
      <w:r>
        <w:rPr>
          <w:rFonts w:ascii="Times New Roman CYR" w:hAnsi="Times New Roman CYR" w:cs="Times New Roman CYR"/>
          <w:sz w:val="24"/>
          <w:szCs w:val="24"/>
        </w:rPr>
        <w:t xml:space="preserve">), в том числе: 105 – малых организаций и 372 – индивидуальных предпринимателя. В 2024 году наблюдается снижение количества индивидуальных предпринимателей (на 5 ед.) к 2023г. или 98,96%. Снижение связано с закрытием ИП и переходом на </w:t>
      </w:r>
      <w:proofErr w:type="spellStart"/>
      <w:r>
        <w:rPr>
          <w:rFonts w:ascii="Times New Roman CYR" w:hAnsi="Times New Roman CYR" w:cs="Times New Roman CYR"/>
          <w:sz w:val="24"/>
          <w:szCs w:val="24"/>
        </w:rPr>
        <w:t>самозанятость</w:t>
      </w:r>
      <w:proofErr w:type="spellEnd"/>
      <w:r>
        <w:rPr>
          <w:rFonts w:ascii="Times New Roman CYR" w:hAnsi="Times New Roman CYR" w:cs="Times New Roman CYR"/>
          <w:sz w:val="24"/>
          <w:szCs w:val="24"/>
        </w:rPr>
        <w:t>.</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 оценке 2025 года планируется незначительное увеличение количества субъектов малого предпринимательства к 2024 году на 2ед., или 479 СМП.</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прогнозном периоде 2026–2027 </w:t>
      </w:r>
      <w:proofErr w:type="spellStart"/>
      <w:r>
        <w:rPr>
          <w:rFonts w:ascii="Times New Roman CYR" w:hAnsi="Times New Roman CYR" w:cs="Times New Roman CYR"/>
          <w:sz w:val="24"/>
          <w:szCs w:val="24"/>
        </w:rPr>
        <w:t>г.г</w:t>
      </w:r>
      <w:proofErr w:type="spellEnd"/>
      <w:r>
        <w:rPr>
          <w:rFonts w:ascii="Times New Roman CYR" w:hAnsi="Times New Roman CYR" w:cs="Times New Roman CYR"/>
          <w:sz w:val="24"/>
          <w:szCs w:val="24"/>
        </w:rPr>
        <w:t>. планируется также незначительное увеличение количества субъектов малого предпринимательства на 2 ед. ежегодно (в среднем 1% в год), в том числе: 2026г. - 481, или 0,4%  к 2025г., 2027г. - 483, или 0,4% к 2026г.</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Увеличение количества субъектов малого предпринимательства планируется в связи с ростом численности населения города и, как следствие, увеличивается спрос на услуги предоставляемые СМП.</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Число субъектов малого и среднего предпринимательства на 10 000 человек за отчетный 2024 год составляет – 266,96 ед., снижение показателя к уровню 2023 года составил 98,83%  (или  3,17 ед.), по оценки 2025 года ожидается незначительное увеличение показателя менее 1% (0,2%) или 267,57 ед., в прогнозном периоде 2026-2027 годов также планируется незначительное увеличение показателя менее 1% (0,2%) и составит 268,12 и 268,54</w:t>
      </w:r>
      <w:proofErr w:type="gramEnd"/>
      <w:r>
        <w:rPr>
          <w:rFonts w:ascii="Times New Roman CYR" w:hAnsi="Times New Roman CYR" w:cs="Times New Roman CYR"/>
          <w:sz w:val="24"/>
          <w:szCs w:val="24"/>
        </w:rPr>
        <w:t xml:space="preserve"> соответственно.</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 2024 году деятельность КФХ не осуществлялась.</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 отчетном периоде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27,05 %, или 101,2 % к 2023 году, (2023г.- 26,73 %), незначительное увеличение показателя к уровню 2023 года составило в среднем 1,2%.</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2025 году и плановом периоде 2026-2027 годов планируется незначительное увеличение показателя: 2025г. - 27,08%, 2026г. - 27,10%, 2027г. -27,13%, при условии сохранения численности работников, осуществляющих деятельность в сфере малого предпринимательства, и стабильной работы городских предприятий и организаций. </w:t>
      </w:r>
    </w:p>
    <w:p w:rsidR="00335081" w:rsidRDefault="00335081">
      <w:pPr>
        <w:autoSpaceDE w:val="0"/>
        <w:autoSpaceDN w:val="0"/>
        <w:adjustRightInd w:val="0"/>
        <w:spacing w:after="0" w:line="240" w:lineRule="auto"/>
        <w:jc w:val="both"/>
        <w:rPr>
          <w:rFonts w:ascii="Times New Roman CYR" w:hAnsi="Times New Roman CYR" w:cs="Times New Roman CYR"/>
          <w:sz w:val="24"/>
          <w:szCs w:val="24"/>
        </w:rPr>
      </w:pPr>
    </w:p>
    <w:p w:rsidR="00335081" w:rsidRDefault="00335081">
      <w:pPr>
        <w:autoSpaceDE w:val="0"/>
        <w:autoSpaceDN w:val="0"/>
        <w:adjustRightInd w:val="0"/>
        <w:spacing w:after="0" w:line="240" w:lineRule="auto"/>
        <w:jc w:val="both"/>
        <w:rPr>
          <w:rFonts w:ascii="Times New Roman CYR" w:hAnsi="Times New Roman CYR" w:cs="Times New Roman CYR"/>
          <w:sz w:val="24"/>
          <w:szCs w:val="24"/>
        </w:rPr>
      </w:pPr>
    </w:p>
    <w:p w:rsidR="00335081" w:rsidRDefault="00335081">
      <w:pPr>
        <w:autoSpaceDE w:val="0"/>
        <w:autoSpaceDN w:val="0"/>
        <w:adjustRightInd w:val="0"/>
        <w:spacing w:after="0" w:line="240" w:lineRule="auto"/>
        <w:jc w:val="both"/>
        <w:rPr>
          <w:rFonts w:ascii="Times New Roman CYR" w:hAnsi="Times New Roman CYR" w:cs="Times New Roman CYR"/>
          <w:sz w:val="24"/>
          <w:szCs w:val="24"/>
        </w:rPr>
      </w:pPr>
    </w:p>
    <w:p w:rsidR="00407610" w:rsidRDefault="00407610">
      <w:pPr>
        <w:autoSpaceDE w:val="0"/>
        <w:autoSpaceDN w:val="0"/>
        <w:adjustRightInd w:val="0"/>
        <w:spacing w:after="0" w:line="240" w:lineRule="auto"/>
        <w:jc w:val="both"/>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44"/>
        <w:gridCol w:w="992"/>
        <w:gridCol w:w="1276"/>
        <w:gridCol w:w="1276"/>
        <w:gridCol w:w="1276"/>
        <w:gridCol w:w="1275"/>
      </w:tblGrid>
      <w:tr w:rsidR="00407610" w:rsidRPr="007A42AD">
        <w:trPr>
          <w:trHeight w:val="300"/>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lastRenderedPageBreak/>
              <w:t>Наименование показателя и единицы измерения</w:t>
            </w:r>
          </w:p>
        </w:tc>
        <w:tc>
          <w:tcPr>
            <w:tcW w:w="6095" w:type="dxa"/>
            <w:gridSpan w:val="5"/>
            <w:tcBorders>
              <w:top w:val="single" w:sz="4" w:space="0" w:color="auto"/>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Значения показателя</w:t>
            </w:r>
          </w:p>
        </w:tc>
      </w:tr>
      <w:tr w:rsidR="00407610" w:rsidRPr="007A42AD">
        <w:trPr>
          <w:trHeight w:val="600"/>
        </w:trPr>
        <w:tc>
          <w:tcPr>
            <w:tcW w:w="3544" w:type="dxa"/>
            <w:vMerge/>
            <w:tcBorders>
              <w:top w:val="single" w:sz="4" w:space="0" w:color="auto"/>
              <w:left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rPr>
            </w:pP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202</w:t>
            </w:r>
            <w:r w:rsidRPr="007A42AD">
              <w:rPr>
                <w:rFonts w:ascii="Times New Roman" w:hAnsi="Times New Roman"/>
                <w:color w:val="000000"/>
                <w:sz w:val="24"/>
                <w:szCs w:val="24"/>
                <w:lang w:val="en-US"/>
              </w:rPr>
              <w:t>3</w:t>
            </w:r>
            <w:r w:rsidRPr="007A42AD">
              <w:rPr>
                <w:rFonts w:ascii="Times New Roman CYR" w:hAnsi="Times New Roman CYR" w:cs="Times New Roman CYR"/>
                <w:color w:val="000000"/>
                <w:sz w:val="24"/>
                <w:szCs w:val="24"/>
              </w:rPr>
              <w:t xml:space="preserve">  факт</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202</w:t>
            </w:r>
            <w:r w:rsidRPr="007A42AD">
              <w:rPr>
                <w:rFonts w:ascii="Times New Roman" w:hAnsi="Times New Roman"/>
                <w:color w:val="000000"/>
                <w:sz w:val="24"/>
                <w:szCs w:val="24"/>
                <w:lang w:val="en-US"/>
              </w:rPr>
              <w:t>4</w:t>
            </w:r>
            <w:r w:rsidRPr="007A42AD">
              <w:rPr>
                <w:rFonts w:ascii="Times New Roman CYR" w:hAnsi="Times New Roman CYR" w:cs="Times New Roman CYR"/>
                <w:color w:val="000000"/>
                <w:sz w:val="24"/>
                <w:szCs w:val="24"/>
              </w:rPr>
              <w:t xml:space="preserve">  факт</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202</w:t>
            </w:r>
            <w:r w:rsidRPr="007A42AD">
              <w:rPr>
                <w:rFonts w:ascii="Times New Roman" w:hAnsi="Times New Roman"/>
                <w:color w:val="000000"/>
                <w:sz w:val="24"/>
                <w:szCs w:val="24"/>
                <w:lang w:val="en-US"/>
              </w:rPr>
              <w:t>5</w:t>
            </w:r>
            <w:r w:rsidRPr="007A42AD">
              <w:rPr>
                <w:rFonts w:ascii="Times New Roman CYR" w:hAnsi="Times New Roman CYR" w:cs="Times New Roman CYR"/>
                <w:color w:val="000000"/>
                <w:sz w:val="24"/>
                <w:szCs w:val="24"/>
              </w:rPr>
              <w:t xml:space="preserve">            оценка</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202</w:t>
            </w:r>
            <w:r w:rsidRPr="007A42AD">
              <w:rPr>
                <w:rFonts w:ascii="Times New Roman" w:hAnsi="Times New Roman"/>
                <w:color w:val="000000"/>
                <w:sz w:val="24"/>
                <w:szCs w:val="24"/>
                <w:lang w:val="en-US"/>
              </w:rPr>
              <w:t>6</w:t>
            </w:r>
            <w:r w:rsidRPr="007A42AD">
              <w:rPr>
                <w:rFonts w:ascii="Times New Roman CYR" w:hAnsi="Times New Roman CYR" w:cs="Times New Roman CYR"/>
                <w:color w:val="000000"/>
                <w:sz w:val="24"/>
                <w:szCs w:val="24"/>
              </w:rPr>
              <w:t xml:space="preserve"> прогноз</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202</w:t>
            </w:r>
            <w:r w:rsidRPr="007A42AD">
              <w:rPr>
                <w:rFonts w:ascii="Times New Roman" w:hAnsi="Times New Roman"/>
                <w:color w:val="000000"/>
                <w:sz w:val="24"/>
                <w:szCs w:val="24"/>
                <w:lang w:val="en-US"/>
              </w:rPr>
              <w:t>7</w:t>
            </w:r>
            <w:r w:rsidRPr="007A42AD">
              <w:rPr>
                <w:rFonts w:ascii="Times New Roman CYR" w:hAnsi="Times New Roman CYR" w:cs="Times New Roman CYR"/>
                <w:color w:val="000000"/>
                <w:sz w:val="24"/>
                <w:szCs w:val="24"/>
              </w:rPr>
              <w:t xml:space="preserve"> прогноз</w:t>
            </w:r>
          </w:p>
        </w:tc>
      </w:tr>
      <w:tr w:rsidR="00407610" w:rsidRPr="007A42AD">
        <w:trPr>
          <w:trHeight w:val="495"/>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 Количество малых и микро предприятий, ед.</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105</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105</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106</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107</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108</w:t>
            </w:r>
          </w:p>
        </w:tc>
      </w:tr>
      <w:tr w:rsidR="00407610" w:rsidRPr="007A42AD">
        <w:trPr>
          <w:trHeight w:val="300"/>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 Количество средних предприятий, ед.</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0</w:t>
            </w:r>
          </w:p>
        </w:tc>
      </w:tr>
      <w:tr w:rsidR="00407610" w:rsidRPr="007A42AD">
        <w:trPr>
          <w:trHeight w:val="405"/>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 Количество индивидуальных предпринимателей, ед.</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377</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372</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373</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374</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375</w:t>
            </w:r>
          </w:p>
        </w:tc>
      </w:tr>
      <w:tr w:rsidR="00407610" w:rsidRPr="007A42AD">
        <w:trPr>
          <w:trHeight w:val="300"/>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ind w:firstLine="180"/>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3.1. в том числе количество крестьянско-фермерских хозяйств, ед.</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r>
      <w:tr w:rsidR="00407610" w:rsidRPr="007A42AD">
        <w:trPr>
          <w:trHeight w:val="870"/>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 xml:space="preserve">4. Численность постоянного населения муниципального, городского округа (муниципального района) </w:t>
            </w:r>
            <w:r w:rsidRPr="007A42AD">
              <w:rPr>
                <w:rFonts w:ascii="Times New Roman CYR" w:hAnsi="Times New Roman CYR" w:cs="Times New Roman CYR"/>
                <w:b/>
                <w:bCs/>
                <w:color w:val="C00000"/>
                <w:sz w:val="20"/>
                <w:szCs w:val="20"/>
              </w:rPr>
              <w:t>на</w:t>
            </w:r>
            <w:r w:rsidRPr="007A42AD">
              <w:rPr>
                <w:rFonts w:ascii="Times New Roman CYR" w:hAnsi="Times New Roman CYR" w:cs="Times New Roman CYR"/>
                <w:color w:val="000000"/>
                <w:sz w:val="20"/>
                <w:szCs w:val="20"/>
              </w:rPr>
              <w:t xml:space="preserve"> </w:t>
            </w:r>
            <w:r w:rsidRPr="007A42AD">
              <w:rPr>
                <w:rFonts w:ascii="Times New Roman CYR" w:hAnsi="Times New Roman CYR" w:cs="Times New Roman CYR"/>
                <w:b/>
                <w:bCs/>
                <w:color w:val="C00000"/>
                <w:sz w:val="20"/>
                <w:szCs w:val="20"/>
              </w:rPr>
              <w:t>конец отчетного года</w:t>
            </w:r>
            <w:r w:rsidRPr="007A42AD">
              <w:rPr>
                <w:rFonts w:ascii="Times New Roman CYR" w:hAnsi="Times New Roman CYR" w:cs="Times New Roman CYR"/>
                <w:color w:val="000000"/>
                <w:sz w:val="20"/>
                <w:szCs w:val="20"/>
              </w:rPr>
              <w:t>, чел.</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17843</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17868</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17902</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17940</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17986</w:t>
            </w:r>
          </w:p>
        </w:tc>
      </w:tr>
      <w:tr w:rsidR="00407610" w:rsidRPr="007A42AD">
        <w:trPr>
          <w:trHeight w:val="274"/>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5. Число субъектов малого и среднего предпринимательства, ед. на 10 000 чел. ((стр.1+стр.2+стр.3)/стр.4*10 000)</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w:hAnsi="Times New Roman"/>
                <w:color w:val="000000"/>
                <w:sz w:val="24"/>
                <w:szCs w:val="24"/>
                <w:lang w:val="en-US"/>
              </w:rPr>
              <w:t>270</w:t>
            </w:r>
            <w:r w:rsidRPr="007A42AD">
              <w:rPr>
                <w:rFonts w:ascii="Times New Roman CYR" w:hAnsi="Times New Roman CYR" w:cs="Times New Roman CYR"/>
                <w:color w:val="000000"/>
                <w:sz w:val="24"/>
                <w:szCs w:val="24"/>
              </w:rPr>
              <w:t>,</w:t>
            </w:r>
            <w:r w:rsidRPr="007A42AD">
              <w:rPr>
                <w:rFonts w:ascii="Times New Roman" w:hAnsi="Times New Roman"/>
                <w:color w:val="000000"/>
                <w:sz w:val="24"/>
                <w:szCs w:val="24"/>
                <w:lang w:val="en-US"/>
              </w:rPr>
              <w:t>13</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266,96</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267,57</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268,12</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268,54</w:t>
            </w:r>
          </w:p>
        </w:tc>
      </w:tr>
      <w:tr w:rsidR="00407610" w:rsidRPr="007A42AD">
        <w:trPr>
          <w:trHeight w:val="600"/>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 xml:space="preserve">6. Среднесписочная численность работников малых и </w:t>
            </w:r>
            <w:proofErr w:type="spellStart"/>
            <w:r w:rsidRPr="007A42AD">
              <w:rPr>
                <w:rFonts w:ascii="Times New Roman CYR" w:hAnsi="Times New Roman CYR" w:cs="Times New Roman CYR"/>
                <w:color w:val="000000"/>
                <w:sz w:val="20"/>
                <w:szCs w:val="20"/>
              </w:rPr>
              <w:t>микропредприятий</w:t>
            </w:r>
            <w:proofErr w:type="spellEnd"/>
            <w:r w:rsidRPr="007A42AD">
              <w:rPr>
                <w:rFonts w:ascii="Times New Roman CYR" w:hAnsi="Times New Roman CYR" w:cs="Times New Roman CYR"/>
                <w:color w:val="000000"/>
                <w:sz w:val="20"/>
                <w:szCs w:val="20"/>
              </w:rPr>
              <w:t>, чел.</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1 155</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1 157</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1 159</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1 160</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1 161</w:t>
            </w:r>
          </w:p>
        </w:tc>
      </w:tr>
      <w:tr w:rsidR="00407610" w:rsidRPr="007A42AD">
        <w:trPr>
          <w:trHeight w:val="600"/>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7. Среднесписочная численность работников у индивидуальных предпринимателей (наемных работников), чел.</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296</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292</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293</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294</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295</w:t>
            </w:r>
          </w:p>
        </w:tc>
      </w:tr>
      <w:tr w:rsidR="00407610" w:rsidRPr="007A42AD">
        <w:trPr>
          <w:trHeight w:val="300"/>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ind w:firstLine="180"/>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7.1. в том числе в крестьянско-фермерских хозяйствах, чел.</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r>
      <w:tr w:rsidR="00407610" w:rsidRPr="007A42AD">
        <w:trPr>
          <w:trHeight w:val="600"/>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8. Среднесписочная численность работников средних предприятий, чел.</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0</w:t>
            </w:r>
          </w:p>
        </w:tc>
      </w:tr>
      <w:tr w:rsidR="00407610" w:rsidRPr="007A42AD">
        <w:trPr>
          <w:trHeight w:val="912"/>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 xml:space="preserve"> 5 011</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4 910</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4 915</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4 917</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4 919</w:t>
            </w:r>
          </w:p>
        </w:tc>
      </w:tr>
      <w:tr w:rsidR="00407610" w:rsidRPr="007A42AD">
        <w:trPr>
          <w:trHeight w:val="1425"/>
        </w:trPr>
        <w:tc>
          <w:tcPr>
            <w:tcW w:w="3544"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 xml:space="preserve">10. </w:t>
            </w:r>
            <w:proofErr w:type="gramStart"/>
            <w:r w:rsidRPr="007A42AD">
              <w:rPr>
                <w:rFonts w:ascii="Times New Roman CYR" w:hAnsi="Times New Roman CYR" w:cs="Times New Roman CYR"/>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roofErr w:type="gramEnd"/>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26,73</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27,05</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27,08</w:t>
            </w:r>
          </w:p>
        </w:tc>
        <w:tc>
          <w:tcPr>
            <w:tcW w:w="1276"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27,10</w:t>
            </w:r>
          </w:p>
        </w:tc>
        <w:tc>
          <w:tcPr>
            <w:tcW w:w="1275"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4"/>
                <w:szCs w:val="24"/>
              </w:rPr>
            </w:pPr>
            <w:r w:rsidRPr="007A42AD">
              <w:rPr>
                <w:rFonts w:ascii="Times New Roman CYR" w:hAnsi="Times New Roman CYR" w:cs="Times New Roman CYR"/>
                <w:color w:val="000000"/>
                <w:sz w:val="24"/>
                <w:szCs w:val="24"/>
              </w:rPr>
              <w:t>27,13</w:t>
            </w:r>
          </w:p>
        </w:tc>
      </w:tr>
    </w:tbl>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335081"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335081">
        <w:rPr>
          <w:rFonts w:ascii="Times New Roman CYR" w:hAnsi="Times New Roman CYR" w:cs="Times New Roman CYR"/>
          <w:b/>
          <w:bCs/>
          <w:color w:val="000000"/>
          <w:sz w:val="24"/>
          <w:szCs w:val="24"/>
        </w:rPr>
        <w:t>3. Объем инвестиций в основной капитал (за исключением бюджетных средств) в расчете на 1 человека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Объем инвестиций в основной капитал (за исключением бюджетных средств) в расчете на одного человека по данным </w:t>
      </w:r>
      <w:proofErr w:type="spellStart"/>
      <w:r>
        <w:rPr>
          <w:rFonts w:ascii="Times New Roman CYR" w:hAnsi="Times New Roman CYR" w:cs="Times New Roman CYR"/>
          <w:sz w:val="24"/>
          <w:szCs w:val="24"/>
        </w:rPr>
        <w:t>Красноярскстата</w:t>
      </w:r>
      <w:proofErr w:type="spellEnd"/>
      <w:r>
        <w:rPr>
          <w:rFonts w:ascii="Times New Roman CYR" w:hAnsi="Times New Roman CYR" w:cs="Times New Roman CYR"/>
          <w:sz w:val="24"/>
          <w:szCs w:val="24"/>
        </w:rPr>
        <w:t xml:space="preserve"> за 2024 год составил 8 452,14 рублей  или 108,0  к 2023 году (2023 г. – 7 827,2 руб.). </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2024 году объем инвестиций в основной капитал за счет всех источников финансирования составил 462 954,0 тыс. рублей или 49,2 к 2023 году (2023 г. – 940 962,0  тыс. </w:t>
      </w:r>
      <w:r>
        <w:rPr>
          <w:rFonts w:ascii="Times New Roman CYR" w:hAnsi="Times New Roman CYR" w:cs="Times New Roman CYR"/>
          <w:sz w:val="24"/>
          <w:szCs w:val="24"/>
        </w:rPr>
        <w:lastRenderedPageBreak/>
        <w:t>руб.).</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Сокращение объема инвестиций в основной капитал за счет всех источников финансирования в 2024 г. к 2023 г. составило 478,0  млн. рублей, в том числе по видам экономической деятельности:</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деятельность в области здравоохранения и предоставления социальных услуг, снижение объема инвестиций в основной капитал за счет всех источников финансирования  связано с тем, что в 2023 году завершилось строительство и комплектация Акушерского корпуса с женской консультацией, терапией и дневным стационаром, объект был оснащен высокотехнологическим медицинским  оборудованием за счет сре</w:t>
      </w:r>
      <w:proofErr w:type="gramStart"/>
      <w:r>
        <w:rPr>
          <w:rFonts w:ascii="Times New Roman CYR" w:hAnsi="Times New Roman CYR" w:cs="Times New Roman CYR"/>
          <w:sz w:val="24"/>
          <w:szCs w:val="24"/>
        </w:rPr>
        <w:t>дств кр</w:t>
      </w:r>
      <w:proofErr w:type="gramEnd"/>
      <w:r>
        <w:rPr>
          <w:rFonts w:ascii="Times New Roman CYR" w:hAnsi="Times New Roman CYR" w:cs="Times New Roman CYR"/>
          <w:sz w:val="24"/>
          <w:szCs w:val="24"/>
        </w:rPr>
        <w:t>аевого бюджета;</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деятельность в области транспортировки и хранения – снижение инвестиций к 2023 г. связано с тем, ФКП «Аэропорты Красноярья» (деятельность транспортная вспомогательная «Управление воздушным движением») был реализован инвестиционный проект по реконструкц</w:t>
      </w:r>
      <w:proofErr w:type="gramStart"/>
      <w:r>
        <w:rPr>
          <w:rFonts w:ascii="Times New Roman CYR" w:hAnsi="Times New Roman CYR" w:cs="Times New Roman CYR"/>
          <w:sz w:val="24"/>
          <w:szCs w:val="24"/>
        </w:rPr>
        <w:t>ии аэ</w:t>
      </w:r>
      <w:proofErr w:type="gramEnd"/>
      <w:r>
        <w:rPr>
          <w:rFonts w:ascii="Times New Roman CYR" w:hAnsi="Times New Roman CYR" w:cs="Times New Roman CYR"/>
          <w:sz w:val="24"/>
          <w:szCs w:val="24"/>
        </w:rPr>
        <w:t>ропортового наземного комплекса, в том числе введено в эксплуатацию новое здание аэровокзала (430 кв. м.).</w:t>
      </w:r>
    </w:p>
    <w:p w:rsidR="00407610" w:rsidRDefault="0040761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2025 году планируется  увеличение объема инвестиций в основной капитал в расчете на одного человека – 9 113,0 рублей, или 107,8%  к 2024 году.</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Законом Красноярского края «О краевом бюджете на 2025 год и плановый период 2026-2027 годов от 5 декабря 2024 года №8-3382 предусмотрены бюджетные инвестиции на реализацию на территории города Енисейска следующих проектов:</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2025 год:</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водопроводные сети </w:t>
      </w:r>
      <w:proofErr w:type="spellStart"/>
      <w:r>
        <w:rPr>
          <w:rFonts w:ascii="Times New Roman CYR" w:hAnsi="Times New Roman CYR" w:cs="Times New Roman CYR"/>
          <w:sz w:val="24"/>
          <w:szCs w:val="24"/>
        </w:rPr>
        <w:t>г</w:t>
      </w:r>
      <w:proofErr w:type="gramStart"/>
      <w:r>
        <w:rPr>
          <w:rFonts w:ascii="Times New Roman CYR" w:hAnsi="Times New Roman CYR" w:cs="Times New Roman CYR"/>
          <w:sz w:val="24"/>
          <w:szCs w:val="24"/>
        </w:rPr>
        <w:t>.Е</w:t>
      </w:r>
      <w:proofErr w:type="gramEnd"/>
      <w:r>
        <w:rPr>
          <w:rFonts w:ascii="Times New Roman CYR" w:hAnsi="Times New Roman CYR" w:cs="Times New Roman CYR"/>
          <w:sz w:val="24"/>
          <w:szCs w:val="24"/>
        </w:rPr>
        <w:t>нисейска</w:t>
      </w:r>
      <w:proofErr w:type="spellEnd"/>
      <w:r>
        <w:rPr>
          <w:rFonts w:ascii="Times New Roman CYR" w:hAnsi="Times New Roman CYR" w:cs="Times New Roman CYR"/>
          <w:sz w:val="24"/>
          <w:szCs w:val="24"/>
        </w:rPr>
        <w:t xml:space="preserve"> (3-я очередь, 1 этап) – 44,2 млн. руб.</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Также, в 2025 планируются инвестиции в основной капитал за счет бюджетных средств на реализацию краевых проектов по формированию комфортной городской среды в размере 20,6 млн. руб., в том числе предусмотрены средства:</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рамках проектов поддержки местных инициатив - 2,8 млн. рублей;</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рамках проектов на благоустройство дворовых территорий - 5,6 </w:t>
      </w:r>
      <w:proofErr w:type="spellStart"/>
      <w:r>
        <w:rPr>
          <w:rFonts w:ascii="Times New Roman CYR" w:hAnsi="Times New Roman CYR" w:cs="Times New Roman CYR"/>
          <w:sz w:val="24"/>
          <w:szCs w:val="24"/>
        </w:rPr>
        <w:t>млн</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ублей</w:t>
      </w:r>
      <w:proofErr w:type="spellEnd"/>
      <w:r>
        <w:rPr>
          <w:rFonts w:ascii="Times New Roman CYR" w:hAnsi="Times New Roman CYR" w:cs="Times New Roman CYR"/>
          <w:sz w:val="24"/>
          <w:szCs w:val="24"/>
        </w:rPr>
        <w:t xml:space="preserve">; </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рамках краевых проектов на благоустройство общественных пространств – 12,1 млн. рублей.</w:t>
      </w:r>
    </w:p>
    <w:p w:rsidR="00335081" w:rsidRDefault="00335081">
      <w:pPr>
        <w:widowControl w:val="0"/>
        <w:autoSpaceDE w:val="0"/>
        <w:autoSpaceDN w:val="0"/>
        <w:adjustRightInd w:val="0"/>
        <w:spacing w:after="0" w:line="240" w:lineRule="auto"/>
        <w:ind w:firstLine="709"/>
        <w:jc w:val="both"/>
        <w:rPr>
          <w:rFonts w:ascii="Times New Roman CYR" w:hAnsi="Times New Roman CYR" w:cs="Times New Roman CYR"/>
          <w:b/>
          <w:bCs/>
          <w:i/>
          <w:iCs/>
          <w:sz w:val="24"/>
          <w:szCs w:val="24"/>
        </w:rPr>
      </w:pP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На 2025 год и плановый период 2026 -2027 годов на территории города реализация крупных инвестиционных проектов не планируется.</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Прогнозный объем инвестиций в основной капитал (за исключением бюджетных средств) в расчете на одного человека составит:</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2026г. – 9 585,79  руб.,  2027г – 9 993,71 руб.</w:t>
      </w:r>
    </w:p>
    <w:p w:rsidR="00407610" w:rsidRDefault="00407610">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93" w:type="dxa"/>
        <w:tblLayout w:type="fixed"/>
        <w:tblLook w:val="0000" w:firstRow="0" w:lastRow="0" w:firstColumn="0" w:lastColumn="0" w:noHBand="0" w:noVBand="0"/>
      </w:tblPr>
      <w:tblGrid>
        <w:gridCol w:w="3120"/>
        <w:gridCol w:w="1060"/>
        <w:gridCol w:w="1060"/>
        <w:gridCol w:w="1100"/>
        <w:gridCol w:w="1220"/>
        <w:gridCol w:w="1180"/>
      </w:tblGrid>
      <w:tr w:rsidR="00407610" w:rsidRPr="007A42AD">
        <w:trPr>
          <w:trHeight w:val="289"/>
        </w:trPr>
        <w:tc>
          <w:tcPr>
            <w:tcW w:w="3120" w:type="dxa"/>
            <w:vMerge w:val="restart"/>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Наименование показателя и единицы измерения</w:t>
            </w:r>
          </w:p>
        </w:tc>
        <w:tc>
          <w:tcPr>
            <w:tcW w:w="5620" w:type="dxa"/>
            <w:gridSpan w:val="5"/>
            <w:tcBorders>
              <w:top w:val="single" w:sz="4" w:space="0" w:color="auto"/>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Значения показателя</w:t>
            </w:r>
          </w:p>
        </w:tc>
      </w:tr>
      <w:tr w:rsidR="00407610" w:rsidRPr="007A42AD">
        <w:trPr>
          <w:trHeight w:val="300"/>
        </w:trPr>
        <w:tc>
          <w:tcPr>
            <w:tcW w:w="3120" w:type="dxa"/>
            <w:vMerge/>
            <w:tcBorders>
              <w:top w:val="single" w:sz="4" w:space="0" w:color="auto"/>
              <w:left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sz w:val="18"/>
                <w:szCs w:val="18"/>
              </w:rPr>
            </w:pP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2023 факт</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2024 факт</w:t>
            </w:r>
          </w:p>
        </w:tc>
        <w:tc>
          <w:tcPr>
            <w:tcW w:w="110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2025 оценка</w:t>
            </w:r>
          </w:p>
        </w:tc>
        <w:tc>
          <w:tcPr>
            <w:tcW w:w="122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2026 прогноз</w:t>
            </w:r>
          </w:p>
        </w:tc>
        <w:tc>
          <w:tcPr>
            <w:tcW w:w="118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2027 прогноз</w:t>
            </w:r>
          </w:p>
        </w:tc>
      </w:tr>
      <w:tr w:rsidR="00407610" w:rsidRPr="007A42AD">
        <w:trPr>
          <w:trHeight w:val="1455"/>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 Объем инвестиций в основной капитал за счет всех источников финансирования (без субъектов малого предпринимательства), тыс. руб.</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940 962,00</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462 954,00</w:t>
            </w:r>
          </w:p>
        </w:tc>
        <w:tc>
          <w:tcPr>
            <w:tcW w:w="110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247 786,00</w:t>
            </w:r>
          </w:p>
        </w:tc>
        <w:tc>
          <w:tcPr>
            <w:tcW w:w="122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271 787,00</w:t>
            </w:r>
          </w:p>
        </w:tc>
        <w:tc>
          <w:tcPr>
            <w:tcW w:w="118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279 517,00</w:t>
            </w:r>
          </w:p>
        </w:tc>
      </w:tr>
      <w:tr w:rsidR="00407610" w:rsidRPr="007A42AD">
        <w:trPr>
          <w:trHeight w:val="480"/>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1.1. Темп роста в действующих ценах, к соответствующему периоду предыдущего года, %</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 </w:t>
            </w:r>
          </w:p>
        </w:tc>
        <w:tc>
          <w:tcPr>
            <w:tcW w:w="106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49,20</w:t>
            </w:r>
          </w:p>
        </w:tc>
        <w:tc>
          <w:tcPr>
            <w:tcW w:w="110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53,52</w:t>
            </w:r>
          </w:p>
        </w:tc>
        <w:tc>
          <w:tcPr>
            <w:tcW w:w="122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109,69</w:t>
            </w:r>
          </w:p>
        </w:tc>
        <w:tc>
          <w:tcPr>
            <w:tcW w:w="118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102,84</w:t>
            </w:r>
          </w:p>
        </w:tc>
      </w:tr>
      <w:tr w:rsidR="00407610" w:rsidRPr="007A42AD">
        <w:trPr>
          <w:trHeight w:val="300"/>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1.2. Индекс-дефлятор, %</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112,40</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sz w:val="18"/>
                <w:szCs w:val="18"/>
              </w:rPr>
            </w:pPr>
            <w:r w:rsidRPr="007A42AD">
              <w:rPr>
                <w:rFonts w:ascii="Times New Roman CYR" w:hAnsi="Times New Roman CYR" w:cs="Times New Roman CYR"/>
                <w:i/>
                <w:iCs/>
                <w:sz w:val="18"/>
                <w:szCs w:val="18"/>
              </w:rPr>
              <w:t>109,50</w:t>
            </w:r>
          </w:p>
        </w:tc>
        <w:tc>
          <w:tcPr>
            <w:tcW w:w="110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sz w:val="18"/>
                <w:szCs w:val="18"/>
              </w:rPr>
            </w:pPr>
            <w:r w:rsidRPr="007A42AD">
              <w:rPr>
                <w:rFonts w:ascii="Times New Roman CYR" w:hAnsi="Times New Roman CYR" w:cs="Times New Roman CYR"/>
                <w:i/>
                <w:iCs/>
                <w:sz w:val="18"/>
                <w:szCs w:val="18"/>
              </w:rPr>
              <w:t>108,00</w:t>
            </w:r>
          </w:p>
        </w:tc>
        <w:tc>
          <w:tcPr>
            <w:tcW w:w="122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sz w:val="18"/>
                <w:szCs w:val="18"/>
              </w:rPr>
            </w:pPr>
            <w:r w:rsidRPr="007A42AD">
              <w:rPr>
                <w:rFonts w:ascii="Times New Roman CYR" w:hAnsi="Times New Roman CYR" w:cs="Times New Roman CYR"/>
                <w:i/>
                <w:iCs/>
                <w:sz w:val="18"/>
                <w:szCs w:val="18"/>
              </w:rPr>
              <w:t>105,40</w:t>
            </w:r>
          </w:p>
        </w:tc>
        <w:tc>
          <w:tcPr>
            <w:tcW w:w="118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sz w:val="18"/>
                <w:szCs w:val="18"/>
              </w:rPr>
            </w:pPr>
            <w:r w:rsidRPr="007A42AD">
              <w:rPr>
                <w:rFonts w:ascii="Times New Roman CYR" w:hAnsi="Times New Roman CYR" w:cs="Times New Roman CYR"/>
                <w:i/>
                <w:iCs/>
                <w:sz w:val="18"/>
                <w:szCs w:val="18"/>
              </w:rPr>
              <w:t>104,50</w:t>
            </w:r>
          </w:p>
        </w:tc>
      </w:tr>
      <w:tr w:rsidR="00407610" w:rsidRPr="007A42AD">
        <w:trPr>
          <w:trHeight w:val="480"/>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lastRenderedPageBreak/>
              <w:t>1.3. Темп роста в сопоставимых ценах, к соответствующему периоду предыдущего года, %</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 </w:t>
            </w:r>
          </w:p>
        </w:tc>
        <w:tc>
          <w:tcPr>
            <w:tcW w:w="106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44,93</w:t>
            </w:r>
          </w:p>
        </w:tc>
        <w:tc>
          <w:tcPr>
            <w:tcW w:w="110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49,56</w:t>
            </w:r>
          </w:p>
        </w:tc>
        <w:tc>
          <w:tcPr>
            <w:tcW w:w="122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104,07</w:t>
            </w:r>
          </w:p>
        </w:tc>
        <w:tc>
          <w:tcPr>
            <w:tcW w:w="118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i/>
                <w:iCs/>
                <w:color w:val="000000"/>
                <w:sz w:val="18"/>
                <w:szCs w:val="18"/>
              </w:rPr>
            </w:pPr>
            <w:r w:rsidRPr="007A42AD">
              <w:rPr>
                <w:rFonts w:ascii="Times New Roman CYR" w:hAnsi="Times New Roman CYR" w:cs="Times New Roman CYR"/>
                <w:i/>
                <w:iCs/>
                <w:color w:val="000000"/>
                <w:sz w:val="18"/>
                <w:szCs w:val="18"/>
              </w:rPr>
              <w:t>98,42</w:t>
            </w:r>
          </w:p>
        </w:tc>
      </w:tr>
      <w:tr w:rsidR="00407610" w:rsidRPr="007A42AD">
        <w:trPr>
          <w:trHeight w:val="480"/>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2. Инвестиции в основной капитал за счет бюджетных средств, тыс. руб.</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802 037,00</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312 041,00</w:t>
            </w:r>
          </w:p>
        </w:tc>
        <w:tc>
          <w:tcPr>
            <w:tcW w:w="110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84 800,00</w:t>
            </w:r>
          </w:p>
        </w:tc>
        <w:tc>
          <w:tcPr>
            <w:tcW w:w="122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100 000,00</w:t>
            </w:r>
          </w:p>
        </w:tc>
        <w:tc>
          <w:tcPr>
            <w:tcW w:w="118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100 000,00</w:t>
            </w:r>
          </w:p>
        </w:tc>
      </w:tr>
      <w:tr w:rsidR="00407610" w:rsidRPr="007A42AD">
        <w:trPr>
          <w:trHeight w:val="480"/>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3. Объем инвестиций без бюджетных средств, тыс. руб. (стр. 1 – стр. 2)</w:t>
            </w:r>
          </w:p>
        </w:tc>
        <w:tc>
          <w:tcPr>
            <w:tcW w:w="106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138 925,00</w:t>
            </w:r>
          </w:p>
        </w:tc>
        <w:tc>
          <w:tcPr>
            <w:tcW w:w="106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150 913,00</w:t>
            </w:r>
          </w:p>
        </w:tc>
        <w:tc>
          <w:tcPr>
            <w:tcW w:w="110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162 986,00</w:t>
            </w:r>
          </w:p>
        </w:tc>
        <w:tc>
          <w:tcPr>
            <w:tcW w:w="122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171 787,00</w:t>
            </w:r>
          </w:p>
        </w:tc>
        <w:tc>
          <w:tcPr>
            <w:tcW w:w="118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179 517,00</w:t>
            </w:r>
          </w:p>
        </w:tc>
      </w:tr>
      <w:tr w:rsidR="00407610" w:rsidRPr="007A42AD">
        <w:trPr>
          <w:trHeight w:val="720"/>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 xml:space="preserve">4. </w:t>
            </w:r>
            <w:r w:rsidRPr="007A42AD">
              <w:rPr>
                <w:rFonts w:ascii="Times New Roman CYR" w:hAnsi="Times New Roman CYR" w:cs="Times New Roman CYR"/>
                <w:b/>
                <w:bCs/>
                <w:color w:val="C00000"/>
                <w:sz w:val="18"/>
                <w:szCs w:val="18"/>
              </w:rPr>
              <w:t xml:space="preserve">Среднегодовая </w:t>
            </w:r>
            <w:r w:rsidRPr="007A42AD">
              <w:rPr>
                <w:rFonts w:ascii="Times New Roman CYR" w:hAnsi="Times New Roman CYR" w:cs="Times New Roman CYR"/>
                <w:color w:val="000000"/>
                <w:sz w:val="18"/>
                <w:szCs w:val="18"/>
              </w:rPr>
              <w:t>численность населения муниципального, городского округа (муниципального района), чел.</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17 749</w:t>
            </w:r>
          </w:p>
        </w:tc>
        <w:tc>
          <w:tcPr>
            <w:tcW w:w="106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17 855</w:t>
            </w:r>
          </w:p>
        </w:tc>
        <w:tc>
          <w:tcPr>
            <w:tcW w:w="110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17 885</w:t>
            </w:r>
          </w:p>
        </w:tc>
        <w:tc>
          <w:tcPr>
            <w:tcW w:w="122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17 921</w:t>
            </w:r>
          </w:p>
        </w:tc>
        <w:tc>
          <w:tcPr>
            <w:tcW w:w="118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18"/>
                <w:szCs w:val="18"/>
              </w:rPr>
            </w:pPr>
            <w:r w:rsidRPr="007A42AD">
              <w:rPr>
                <w:rFonts w:ascii="Times New Roman CYR" w:hAnsi="Times New Roman CYR" w:cs="Times New Roman CYR"/>
                <w:color w:val="000000"/>
                <w:sz w:val="18"/>
                <w:szCs w:val="18"/>
              </w:rPr>
              <w:t>17 963</w:t>
            </w:r>
          </w:p>
        </w:tc>
      </w:tr>
      <w:tr w:rsidR="00407610" w:rsidRPr="007A42AD">
        <w:trPr>
          <w:trHeight w:val="1350"/>
        </w:trPr>
        <w:tc>
          <w:tcPr>
            <w:tcW w:w="312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sz w:val="18"/>
                <w:szCs w:val="18"/>
              </w:rPr>
            </w:pPr>
            <w:r w:rsidRPr="007A42AD">
              <w:rPr>
                <w:rFonts w:ascii="Times New Roman CYR" w:hAnsi="Times New Roman CYR" w:cs="Times New Roman CYR"/>
                <w:b/>
                <w:bCs/>
                <w:color w:val="000000"/>
                <w:sz w:val="18"/>
                <w:szCs w:val="18"/>
              </w:rPr>
              <w:t>5. Объем инвестиций в основной капитал (за исключением бюджетных средств) в расчете на 1 человека населения, руб. (стр. 3*1000/стр. 4)</w:t>
            </w:r>
          </w:p>
        </w:tc>
        <w:tc>
          <w:tcPr>
            <w:tcW w:w="106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7A42AD">
              <w:rPr>
                <w:rFonts w:ascii="Times New Roman CYR" w:hAnsi="Times New Roman CYR" w:cs="Times New Roman CYR"/>
                <w:b/>
                <w:bCs/>
                <w:color w:val="000000"/>
                <w:sz w:val="18"/>
                <w:szCs w:val="18"/>
              </w:rPr>
              <w:t>7 827,20</w:t>
            </w:r>
          </w:p>
        </w:tc>
        <w:tc>
          <w:tcPr>
            <w:tcW w:w="106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7A42AD">
              <w:rPr>
                <w:rFonts w:ascii="Times New Roman CYR" w:hAnsi="Times New Roman CYR" w:cs="Times New Roman CYR"/>
                <w:b/>
                <w:bCs/>
                <w:color w:val="000000"/>
                <w:sz w:val="18"/>
                <w:szCs w:val="18"/>
              </w:rPr>
              <w:t>8 452,14</w:t>
            </w:r>
          </w:p>
        </w:tc>
        <w:tc>
          <w:tcPr>
            <w:tcW w:w="110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7A42AD">
              <w:rPr>
                <w:rFonts w:ascii="Times New Roman CYR" w:hAnsi="Times New Roman CYR" w:cs="Times New Roman CYR"/>
                <w:b/>
                <w:bCs/>
                <w:color w:val="000000"/>
                <w:sz w:val="18"/>
                <w:szCs w:val="18"/>
              </w:rPr>
              <w:t>9 113,00</w:t>
            </w:r>
          </w:p>
        </w:tc>
        <w:tc>
          <w:tcPr>
            <w:tcW w:w="122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7A42AD">
              <w:rPr>
                <w:rFonts w:ascii="Times New Roman CYR" w:hAnsi="Times New Roman CYR" w:cs="Times New Roman CYR"/>
                <w:b/>
                <w:bCs/>
                <w:color w:val="000000"/>
                <w:sz w:val="18"/>
                <w:szCs w:val="18"/>
              </w:rPr>
              <w:t>9 585,79</w:t>
            </w:r>
          </w:p>
        </w:tc>
        <w:tc>
          <w:tcPr>
            <w:tcW w:w="118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18"/>
                <w:szCs w:val="18"/>
              </w:rPr>
            </w:pPr>
            <w:r w:rsidRPr="007A42AD">
              <w:rPr>
                <w:rFonts w:ascii="Times New Roman CYR" w:hAnsi="Times New Roman CYR" w:cs="Times New Roman CYR"/>
                <w:b/>
                <w:bCs/>
                <w:color w:val="000000"/>
                <w:sz w:val="18"/>
                <w:szCs w:val="18"/>
              </w:rPr>
              <w:t>9 993,71</w:t>
            </w:r>
          </w:p>
        </w:tc>
      </w:tr>
    </w:tbl>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335081" w:rsidRDefault="007A42AD" w:rsidP="0033508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35081">
        <w:rPr>
          <w:rFonts w:ascii="Times New Roman CYR" w:hAnsi="Times New Roman CYR" w:cs="Times New Roman CYR"/>
          <w:b/>
          <w:bCs/>
          <w:color w:val="000000"/>
          <w:sz w:val="24"/>
          <w:szCs w:val="24"/>
        </w:rPr>
        <w:t>4.Доля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407610" w:rsidRDefault="007A42AD">
      <w:pPr>
        <w:autoSpaceDE w:val="0"/>
        <w:autoSpaceDN w:val="0"/>
        <w:adjustRightInd w:val="0"/>
        <w:spacing w:before="12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 данным Управления </w:t>
      </w:r>
      <w:proofErr w:type="spellStart"/>
      <w:r>
        <w:rPr>
          <w:rFonts w:ascii="Times New Roman CYR" w:hAnsi="Times New Roman CYR" w:cs="Times New Roman CYR"/>
          <w:sz w:val="24"/>
          <w:szCs w:val="24"/>
        </w:rPr>
        <w:t>Росреестра</w:t>
      </w:r>
      <w:proofErr w:type="spellEnd"/>
      <w:r>
        <w:rPr>
          <w:rFonts w:ascii="Times New Roman CYR" w:hAnsi="Times New Roman CYR" w:cs="Times New Roman CYR"/>
          <w:sz w:val="24"/>
          <w:szCs w:val="24"/>
        </w:rPr>
        <w:t xml:space="preserve"> на 01.01.2025г. общая площадь территории города Енисейска, подлежащая налогообложению, составляет 6641,0 га. Законом Красноярского края от 10.11.2022 г. №4-1190 «Об установлении границ муниципального образования город Енисейск Красноярского края и наделении его статусом городского округа» установлены границы города Енисейска и общая площадь 6600,49 га.</w:t>
      </w:r>
    </w:p>
    <w:p w:rsidR="00407610" w:rsidRDefault="007A42AD">
      <w:pPr>
        <w:autoSpaceDE w:val="0"/>
        <w:autoSpaceDN w:val="0"/>
        <w:adjustRightInd w:val="0"/>
        <w:spacing w:before="12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 2009 года проводится работа по инвентаризации земельных участков, выявление объектов налогообложения, так доля площади земельных участков, являющихся объектами налогообложения земельным налогом составляет: 2023г. – 2,24% (что составляет 148,62 га),  2024 – 2,43% (что составляет 161,58 га),  с 2025 по 2027 </w:t>
      </w:r>
      <w:proofErr w:type="spellStart"/>
      <w:proofErr w:type="gramStart"/>
      <w:r>
        <w:rPr>
          <w:rFonts w:ascii="Times New Roman CYR" w:hAnsi="Times New Roman CYR" w:cs="Times New Roman CYR"/>
          <w:sz w:val="24"/>
          <w:szCs w:val="24"/>
        </w:rPr>
        <w:t>гг</w:t>
      </w:r>
      <w:proofErr w:type="spellEnd"/>
      <w:proofErr w:type="gramEnd"/>
      <w:r>
        <w:rPr>
          <w:rFonts w:ascii="Times New Roman CYR" w:hAnsi="Times New Roman CYR" w:cs="Times New Roman CYR"/>
          <w:sz w:val="24"/>
          <w:szCs w:val="24"/>
        </w:rPr>
        <w:t xml:space="preserve"> планируется ежегодное увеличение данного показателя на 0,02%. Увеличение произошло за счет предоставления в собственность за плату и бесплатно земельных участков гражданам, формирования земельных участков и их постановка на государственный кадастровый учет.</w:t>
      </w:r>
    </w:p>
    <w:p w:rsidR="00407610" w:rsidRDefault="007A42AD" w:rsidP="00335081">
      <w:pPr>
        <w:autoSpaceDE w:val="0"/>
        <w:autoSpaceDN w:val="0"/>
        <w:adjustRightInd w:val="0"/>
        <w:spacing w:before="120" w:after="0" w:line="240" w:lineRule="auto"/>
        <w:jc w:val="both"/>
        <w:rPr>
          <w:rFonts w:ascii="Times New Roman CYR" w:hAnsi="Times New Roman CYR" w:cs="Times New Roman CYR"/>
          <w:color w:val="000000"/>
          <w:sz w:val="12"/>
          <w:szCs w:val="12"/>
        </w:rPr>
      </w:pPr>
      <w:r>
        <w:rPr>
          <w:rFonts w:ascii="Times New Roman CYR" w:hAnsi="Times New Roman CYR" w:cs="Times New Roman CYR"/>
          <w:sz w:val="24"/>
          <w:szCs w:val="24"/>
        </w:rPr>
        <w:t xml:space="preserve"> </w:t>
      </w:r>
    </w:p>
    <w:p w:rsidR="00407610" w:rsidRPr="00335081" w:rsidRDefault="007A42AD" w:rsidP="0033508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35081">
        <w:rPr>
          <w:rFonts w:ascii="Times New Roman CYR" w:hAnsi="Times New Roman CYR" w:cs="Times New Roman CYR"/>
          <w:b/>
          <w:bCs/>
          <w:color w:val="000000"/>
          <w:sz w:val="24"/>
          <w:szCs w:val="24"/>
        </w:rPr>
        <w:t xml:space="preserve">5. Доля прибыльных сельскохозяйственных </w:t>
      </w:r>
      <w:proofErr w:type="gramStart"/>
      <w:r w:rsidRPr="00335081">
        <w:rPr>
          <w:rFonts w:ascii="Times New Roman CYR" w:hAnsi="Times New Roman CYR" w:cs="Times New Roman CYR"/>
          <w:b/>
          <w:bCs/>
          <w:color w:val="000000"/>
          <w:sz w:val="24"/>
          <w:szCs w:val="24"/>
        </w:rPr>
        <w:t>организаций</w:t>
      </w:r>
      <w:proofErr w:type="gramEnd"/>
      <w:r w:rsidRPr="00335081">
        <w:rPr>
          <w:rFonts w:ascii="Times New Roman CYR" w:hAnsi="Times New Roman CYR" w:cs="Times New Roman CYR"/>
          <w:b/>
          <w:bCs/>
          <w:color w:val="000000"/>
          <w:sz w:val="24"/>
          <w:szCs w:val="24"/>
        </w:rPr>
        <w:t xml:space="preserve"> в общем их числе</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На территории города сельскохозяйственные организации не зарегистрированы.</w:t>
      </w: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D4C9C" w:rsidRDefault="004D4C9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335081" w:rsidRDefault="007A42AD" w:rsidP="0033508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35081">
        <w:rPr>
          <w:rFonts w:ascii="Times New Roman CYR" w:hAnsi="Times New Roman CYR" w:cs="Times New Roman CYR"/>
          <w:b/>
          <w:bCs/>
          <w:color w:val="000000"/>
          <w:sz w:val="24"/>
          <w:szCs w:val="24"/>
        </w:rPr>
        <w:t>6.Доля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tabs>
          <w:tab w:val="left" w:pos="567"/>
        </w:tabs>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Общая протяженность улично-дорожной сети города Енисейска составляет  – 90,1 км.</w:t>
      </w:r>
    </w:p>
    <w:p w:rsidR="00407610" w:rsidRDefault="007A42AD">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В 2024 году осуществлялось содержание автомобильных дорог в соответствии с требованиями технических регламентов в целях бесперебойного и безопасного дорожного движения, а также обеспечения сохранности автомобильных дорог. </w:t>
      </w:r>
      <w:proofErr w:type="gramStart"/>
      <w:r>
        <w:rPr>
          <w:rFonts w:ascii="Times New Roman CYR" w:hAnsi="Times New Roman CYR" w:cs="Times New Roman CYR"/>
          <w:color w:val="000000"/>
          <w:sz w:val="24"/>
          <w:szCs w:val="24"/>
        </w:rPr>
        <w:t xml:space="preserve">На улично-дорожной сети выполнены  работы по ремонту участков дорог местного значения общей протяженностью 4,109 км: ремонт автомобильной дороги общего пользования местного значения на территории г. Енисейска по ул. </w:t>
      </w:r>
      <w:proofErr w:type="spellStart"/>
      <w:r>
        <w:rPr>
          <w:rFonts w:ascii="Times New Roman CYR" w:hAnsi="Times New Roman CYR" w:cs="Times New Roman CYR"/>
          <w:color w:val="000000"/>
          <w:sz w:val="24"/>
          <w:szCs w:val="24"/>
        </w:rPr>
        <w:t>Перенсона</w:t>
      </w:r>
      <w:proofErr w:type="spellEnd"/>
      <w:r>
        <w:rPr>
          <w:rFonts w:ascii="Times New Roman CYR" w:hAnsi="Times New Roman CYR" w:cs="Times New Roman CYR"/>
          <w:color w:val="000000"/>
          <w:sz w:val="24"/>
          <w:szCs w:val="24"/>
        </w:rPr>
        <w:t xml:space="preserve"> (от ул. Пролетарская до дома 104 (0,12 км), по ул. Каурова (от дома 77 до пересечения с ул. Промышленной (0,487 км), по ул. Горького (от ул. Кирова до ул. Рабоче-Крестьянская (четная</w:t>
      </w:r>
      <w:proofErr w:type="gramEnd"/>
      <w:r>
        <w:rPr>
          <w:rFonts w:ascii="Times New Roman CYR" w:hAnsi="Times New Roman CYR" w:cs="Times New Roman CYR"/>
          <w:color w:val="000000"/>
          <w:sz w:val="24"/>
          <w:szCs w:val="24"/>
        </w:rPr>
        <w:t xml:space="preserve"> сторона) (0,125км), </w:t>
      </w:r>
      <w:r>
        <w:rPr>
          <w:rFonts w:ascii="Times New Roman CYR" w:hAnsi="Times New Roman CYR" w:cs="Times New Roman CYR"/>
          <w:sz w:val="24"/>
          <w:szCs w:val="24"/>
        </w:rPr>
        <w:t xml:space="preserve">по ул. 40 лет Октября (от ул. Горького до ул. </w:t>
      </w:r>
      <w:r>
        <w:rPr>
          <w:rFonts w:ascii="Times New Roman CYR" w:hAnsi="Times New Roman CYR" w:cs="Times New Roman CYR"/>
          <w:sz w:val="24"/>
          <w:szCs w:val="24"/>
        </w:rPr>
        <w:lastRenderedPageBreak/>
        <w:t>Лыткина), по ул. Доброва (от дома № 20 до дома № 27; от перекрестка с улицей Сурикова до дома № 50, от дома № 54 до дома № 57), по ул. Мичурина (от дома № 61 до пересечения с проездом на паромную переправу Е-500), по ул. Рабоче-Крестьянская (от ул. Тамарова до ул. Чкалова).</w:t>
      </w:r>
    </w:p>
    <w:p w:rsidR="00407610" w:rsidRDefault="00407610">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
    <w:p w:rsidR="00407610" w:rsidRDefault="007A42AD">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Общая протяженность дорог  города Енисейска не отвечающая нормативным требованиям оставляет 44,2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2023 год – 53,39 %;</w:t>
      </w: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2024 год – 49,06 %;</w:t>
      </w: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2025 год - 47,20 %;</w:t>
      </w: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2026 год – 47,20 %;</w:t>
      </w: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2027 год – 47,20 %.</w:t>
      </w: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Уменьшение показателя связано с ежегодным проведением ремонтно-восстановительных работ.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4D4C9C" w:rsidRDefault="007A42AD" w:rsidP="004D4C9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sidRPr="004D4C9C">
        <w:rPr>
          <w:rFonts w:ascii="Times New Roman CYR" w:hAnsi="Times New Roman CYR" w:cs="Times New Roman CYR"/>
          <w:b/>
          <w:bCs/>
          <w:color w:val="000000"/>
          <w:sz w:val="24"/>
          <w:szCs w:val="24"/>
        </w:rPr>
        <w:t>7.Доля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roofErr w:type="gramEnd"/>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Енисейск является городским округом Красноярского края, 100 % </w:t>
      </w:r>
      <w:proofErr w:type="gramStart"/>
      <w:r>
        <w:rPr>
          <w:rFonts w:ascii="Times New Roman CYR" w:hAnsi="Times New Roman CYR" w:cs="Times New Roman CYR"/>
          <w:sz w:val="24"/>
          <w:szCs w:val="24"/>
        </w:rPr>
        <w:t>населения, проживающего в городе имеют</w:t>
      </w:r>
      <w:proofErr w:type="gramEnd"/>
      <w:r>
        <w:rPr>
          <w:rFonts w:ascii="Times New Roman CYR" w:hAnsi="Times New Roman CYR" w:cs="Times New Roman CYR"/>
          <w:sz w:val="24"/>
          <w:szCs w:val="24"/>
        </w:rPr>
        <w:t xml:space="preserve"> транспортную доступность.</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4D4C9C" w:rsidRDefault="007A42AD" w:rsidP="004D4C9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4D4C9C">
        <w:rPr>
          <w:rFonts w:ascii="Times New Roman CYR" w:hAnsi="Times New Roman CYR" w:cs="Times New Roman CYR"/>
          <w:b/>
          <w:bCs/>
          <w:color w:val="000000"/>
          <w:sz w:val="24"/>
          <w:szCs w:val="24"/>
        </w:rPr>
        <w:t>8. Среднемесячная номинальная начисленная заработная плата работников:</w:t>
      </w:r>
    </w:p>
    <w:p w:rsidR="00407610" w:rsidRPr="004D4C9C" w:rsidRDefault="00407610" w:rsidP="004D4C9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07610" w:rsidRPr="004D4C9C" w:rsidRDefault="007A42AD" w:rsidP="004D4C9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4D4C9C">
        <w:rPr>
          <w:rFonts w:ascii="Times New Roman CYR" w:hAnsi="Times New Roman CYR" w:cs="Times New Roman CYR"/>
          <w:b/>
          <w:bCs/>
          <w:color w:val="000000"/>
          <w:sz w:val="24"/>
          <w:szCs w:val="24"/>
        </w:rPr>
        <w:t>8.1. крупных и средних предприят</w:t>
      </w:r>
      <w:r w:rsidR="004D4C9C">
        <w:rPr>
          <w:rFonts w:ascii="Times New Roman CYR" w:hAnsi="Times New Roman CYR" w:cs="Times New Roman CYR"/>
          <w:b/>
          <w:bCs/>
          <w:color w:val="000000"/>
          <w:sz w:val="24"/>
          <w:szCs w:val="24"/>
        </w:rPr>
        <w:t>ий и некоммерческих организаций:</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Согласно данным Территориального органа Федеральной  службы государственной статистики по Красноярскому краю заработная плата имеет общую тенденцию ежегодного увеличения, так за отчетный период 2024 года номинальная начисленная заработная плата работников  составила  71 515,60 рублей с ростом к предыдущему 2023 году на 15,07%.</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Рост заработной платы в 2024 году обусловлен: </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величением заработной платы "указных" категорий работников; </w:t>
      </w:r>
      <w:r>
        <w:rPr>
          <w:rFonts w:ascii="Times New Roman CYR" w:hAnsi="Times New Roman CYR" w:cs="Times New Roman CYR"/>
          <w:sz w:val="24"/>
          <w:szCs w:val="24"/>
        </w:rPr>
        <w:tab/>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величением размера МРОТ с 01.01.2024г. до 19 242,00 руб. (на 01.01.2023 г. МРОТ составил 16 242,00 руб.).</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4).выплатой с 01.01.2024г. "специальной краевой выплаты" - 3 000,0 руб.</w:t>
      </w: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Рост заработной платы в 2025-2027гг. планируется на </w:t>
      </w:r>
      <w:r w:rsidRPr="00335081">
        <w:rPr>
          <w:rFonts w:ascii="Times New Roman" w:hAnsi="Times New Roman"/>
          <w:sz w:val="24"/>
          <w:szCs w:val="24"/>
        </w:rPr>
        <w:t>15</w:t>
      </w:r>
      <w:r>
        <w:rPr>
          <w:rFonts w:ascii="Times New Roman CYR" w:hAnsi="Times New Roman CYR" w:cs="Times New Roman CYR"/>
          <w:sz w:val="24"/>
          <w:szCs w:val="24"/>
        </w:rPr>
        <w:t>,0-8,8% ежегодно.</w:t>
      </w: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D4C9C" w:rsidRDefault="004D4C9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4D4C9C" w:rsidRDefault="007A42AD" w:rsidP="004D4C9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4D4C9C">
        <w:rPr>
          <w:rFonts w:ascii="Times New Roman CYR" w:hAnsi="Times New Roman CYR" w:cs="Times New Roman CYR"/>
          <w:b/>
          <w:bCs/>
          <w:color w:val="000000"/>
          <w:sz w:val="24"/>
          <w:szCs w:val="24"/>
        </w:rPr>
        <w:t>8.2. муниципальных дошкольных образовательных учреждений;</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tabs>
          <w:tab w:val="left" w:pos="680"/>
          <w:tab w:val="left" w:pos="72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Среднемесячная номинальная начисленная заработная плата на одного работника МДОУ в 2024 году составила 49 584,30 руб.</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D4C9C" w:rsidRDefault="004D4C9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D4C9C" w:rsidRDefault="004D4C9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D4C9C" w:rsidRDefault="004D4C9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D4C9C" w:rsidRDefault="004D4C9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4D4C9C"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4D4C9C">
        <w:rPr>
          <w:rFonts w:ascii="Times New Roman CYR" w:hAnsi="Times New Roman CYR" w:cs="Times New Roman CYR"/>
          <w:b/>
          <w:bCs/>
          <w:color w:val="000000"/>
          <w:sz w:val="24"/>
          <w:szCs w:val="24"/>
        </w:rPr>
        <w:lastRenderedPageBreak/>
        <w:t>8.3. муниципальных</w:t>
      </w:r>
      <w:r w:rsidR="004D4C9C">
        <w:rPr>
          <w:rFonts w:ascii="Times New Roman CYR" w:hAnsi="Times New Roman CYR" w:cs="Times New Roman CYR"/>
          <w:b/>
          <w:bCs/>
          <w:color w:val="000000"/>
          <w:sz w:val="24"/>
          <w:szCs w:val="24"/>
        </w:rPr>
        <w:t xml:space="preserve"> общеобразовательных учреждений:</w:t>
      </w:r>
    </w:p>
    <w:p w:rsidR="00407610" w:rsidRPr="004D4C9C"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rsidP="004D4C9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Среднемесячная номинальная начисленная заработная плата работников МОУ в 2024 году составила 62 072,00 руб.</w:t>
      </w:r>
    </w:p>
    <w:p w:rsidR="00407610" w:rsidRDefault="007A42AD">
      <w:pPr>
        <w:tabs>
          <w:tab w:val="left" w:pos="68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Среднемесячная номинальная начисленная заработная плата учителей МОУ в 2024 году составила 72 335,19 руб.</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4D4C9C"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4D4C9C">
        <w:rPr>
          <w:rFonts w:ascii="Times New Roman CYR" w:hAnsi="Times New Roman CYR" w:cs="Times New Roman CYR"/>
          <w:b/>
          <w:bCs/>
          <w:color w:val="000000"/>
          <w:sz w:val="24"/>
          <w:szCs w:val="24"/>
        </w:rPr>
        <w:t xml:space="preserve">8.4. муниципальных </w:t>
      </w:r>
      <w:r w:rsidR="004D4C9C">
        <w:rPr>
          <w:rFonts w:ascii="Times New Roman CYR" w:hAnsi="Times New Roman CYR" w:cs="Times New Roman CYR"/>
          <w:b/>
          <w:bCs/>
          <w:color w:val="000000"/>
          <w:sz w:val="24"/>
          <w:szCs w:val="24"/>
        </w:rPr>
        <w:t>учреждений культуры и искусства: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rPr>
          <w:rFonts w:ascii="Times New Roman CYR" w:hAnsi="Times New Roman CYR" w:cs="Times New Roman CYR"/>
          <w:sz w:val="24"/>
          <w:szCs w:val="24"/>
        </w:rPr>
      </w:pPr>
      <w:r w:rsidRPr="00335081">
        <w:rPr>
          <w:rFonts w:ascii="Times New Roman" w:hAnsi="Times New Roman"/>
          <w:sz w:val="24"/>
          <w:szCs w:val="24"/>
        </w:rPr>
        <w:tab/>
      </w:r>
      <w:r>
        <w:rPr>
          <w:rFonts w:ascii="Times New Roman CYR" w:hAnsi="Times New Roman CYR" w:cs="Times New Roman CYR"/>
          <w:sz w:val="24"/>
          <w:szCs w:val="24"/>
        </w:rPr>
        <w:t>Среднемесячная номинальная начисленная заработная плата на одного работника МУК в 202</w:t>
      </w:r>
      <w:r w:rsidRPr="00335081">
        <w:rPr>
          <w:rFonts w:ascii="Times New Roman" w:hAnsi="Times New Roman"/>
          <w:sz w:val="24"/>
          <w:szCs w:val="24"/>
        </w:rPr>
        <w:t>4</w:t>
      </w:r>
      <w:r>
        <w:rPr>
          <w:rFonts w:ascii="Times New Roman CYR" w:hAnsi="Times New Roman CYR" w:cs="Times New Roman CYR"/>
          <w:sz w:val="24"/>
          <w:szCs w:val="24"/>
        </w:rPr>
        <w:t xml:space="preserve"> году составила 63 769,80 рублей, рост к 2023 году на 21,9%.</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4D4C9C"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4D4C9C">
        <w:rPr>
          <w:rFonts w:ascii="Times New Roman CYR" w:hAnsi="Times New Roman CYR" w:cs="Times New Roman CYR"/>
          <w:b/>
          <w:bCs/>
          <w:color w:val="000000"/>
          <w:sz w:val="24"/>
          <w:szCs w:val="24"/>
        </w:rPr>
        <w:t>8.5. муниципальных учреждений физической культуры и спорта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ab/>
        <w:t xml:space="preserve">Среднемесячная номинальная начисленная заработная плата работников муниципальных учреждений физической культуры и спорта в 2023 году увеличилась на 28,8 %, что связано с увеличением МРОТ и выделением субсидии из краевого бюджета на выплаты стимулирующего характера тренерскому составу, в 2024 году увеличение составило 12,0% в связи с установленной специальной краевой выплатой 3000,00 руб. </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A10A93"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A10A93">
        <w:rPr>
          <w:rFonts w:ascii="Times New Roman CYR" w:hAnsi="Times New Roman CYR" w:cs="Times New Roman CYR"/>
          <w:b/>
          <w:bCs/>
          <w:color w:val="000000"/>
          <w:sz w:val="24"/>
          <w:szCs w:val="24"/>
        </w:rPr>
        <w:t>II. Дошкольное образование</w:t>
      </w:r>
    </w:p>
    <w:p w:rsidR="00407610" w:rsidRPr="00A10A93"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A10A93" w:rsidRDefault="007A42AD" w:rsidP="00A10A93">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sidRPr="00A10A93">
        <w:rPr>
          <w:rFonts w:ascii="Times New Roman CYR" w:hAnsi="Times New Roman CYR" w:cs="Times New Roman CYR"/>
          <w:b/>
          <w:bCs/>
          <w:color w:val="000000"/>
          <w:sz w:val="24"/>
          <w:szCs w:val="24"/>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w:t>
      </w:r>
      <w:r w:rsidR="00A10A93">
        <w:rPr>
          <w:rFonts w:ascii="Times New Roman CYR" w:hAnsi="Times New Roman CYR" w:cs="Times New Roman CYR"/>
          <w:b/>
          <w:bCs/>
          <w:color w:val="000000"/>
          <w:sz w:val="24"/>
          <w:szCs w:val="24"/>
        </w:rPr>
        <w:t>нности детей в возрасте 1-6 лет</w:t>
      </w:r>
    </w:p>
    <w:p w:rsidR="00407610" w:rsidRPr="00A10A93" w:rsidRDefault="007A42AD" w:rsidP="00A10A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A10A93">
        <w:rPr>
          <w:rFonts w:ascii="Times New Roman CYR" w:hAnsi="Times New Roman CYR" w:cs="Times New Roman CYR"/>
          <w:b/>
          <w:bCs/>
          <w:color w:val="000000"/>
          <w:sz w:val="24"/>
          <w:szCs w:val="24"/>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before="120"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учреждений, в общей численности детей в возрасте 1-6 лет в  отчетном году составила – 71,5%.</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Количество действующих ДОУ на конец отчетного периода составило 5 учреждений.</w:t>
      </w:r>
      <w:proofErr w:type="gramEnd"/>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1 - 6 лет - 0 %. Детей в возрасте от 1 до 6 лет, состоящих в актуальной очереди для определения в дошкольные образовательные организации муниципальной формы собственности  нет.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A10A93" w:rsidRDefault="007A42AD" w:rsidP="00A10A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A10A93">
        <w:rPr>
          <w:rFonts w:ascii="Times New Roman CYR" w:hAnsi="Times New Roman CYR" w:cs="Times New Roman CYR"/>
          <w:b/>
          <w:bCs/>
          <w:color w:val="000000"/>
          <w:sz w:val="24"/>
          <w:szCs w:val="24"/>
        </w:rPr>
        <w:t>11.Доля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состоянию на 01.01.2024 года на территории города Енисейска функционирует 5 дошкольных образовательных учреждений. Доля зданий, находящихся в аварийном состоянии составила 0 %.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составляет – 60,0%. </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ДОУ №№ 1 (1 и 2 корпус), 5 (1 и 2 корпус), </w:t>
      </w:r>
      <w:r>
        <w:rPr>
          <w:rFonts w:ascii="Times New Roman CYR" w:hAnsi="Times New Roman CYR" w:cs="Times New Roman CYR"/>
          <w:sz w:val="24"/>
          <w:szCs w:val="24"/>
        </w:rPr>
        <w:lastRenderedPageBreak/>
        <w:t>16 (2 корпус).</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A10A93"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A10A93">
        <w:rPr>
          <w:rFonts w:ascii="Times New Roman CYR" w:hAnsi="Times New Roman CYR" w:cs="Times New Roman CYR"/>
          <w:b/>
          <w:bCs/>
          <w:color w:val="000000"/>
          <w:sz w:val="24"/>
          <w:szCs w:val="24"/>
        </w:rPr>
        <w:t>III. Общее и дополнительное образование</w:t>
      </w:r>
    </w:p>
    <w:p w:rsidR="00407610" w:rsidRPr="00A10A93" w:rsidRDefault="00407610">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407610" w:rsidRPr="00A10A93" w:rsidRDefault="007A42AD" w:rsidP="00A10A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A10A93">
        <w:rPr>
          <w:rFonts w:ascii="Times New Roman CYR" w:hAnsi="Times New Roman CYR" w:cs="Times New Roman CYR"/>
          <w:b/>
          <w:bCs/>
          <w:color w:val="000000"/>
          <w:sz w:val="24"/>
          <w:szCs w:val="24"/>
        </w:rPr>
        <w:t>13.Доля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Все 120 выпускников 11(12) классов были допущены к ЕГЭ и участвовали  в государственной итоговой аттестации 2024 года. По результатам обучения в 2024 году 100% выпускников получили аттестаты о среднем общем образовании.</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14.Доля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2024 году составляет 80 %. </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Доля муниципальных общеобразовательных учреждений, здания которых находятся в аварийном состоянии - 0%. Здания, требующие капитального ремонта, в общем количестве муниципальных общеобразовательных учреждений за отчетный 2024 год составляют 20 %: МБОУ СШ № 3.</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 xml:space="preserve">16.Доля детей первой и второй групп здоровья в общей </w:t>
      </w:r>
      <w:proofErr w:type="gramStart"/>
      <w:r w:rsidRPr="006B5DE2">
        <w:rPr>
          <w:rFonts w:ascii="Times New Roman CYR" w:hAnsi="Times New Roman CYR" w:cs="Times New Roman CYR"/>
          <w:b/>
          <w:bCs/>
          <w:color w:val="000000"/>
          <w:sz w:val="24"/>
          <w:szCs w:val="24"/>
        </w:rPr>
        <w:t>численности</w:t>
      </w:r>
      <w:proofErr w:type="gramEnd"/>
      <w:r w:rsidRPr="006B5DE2">
        <w:rPr>
          <w:rFonts w:ascii="Times New Roman CYR" w:hAnsi="Times New Roman CYR" w:cs="Times New Roman CYR"/>
          <w:b/>
          <w:bCs/>
          <w:color w:val="000000"/>
          <w:sz w:val="24"/>
          <w:szCs w:val="24"/>
        </w:rPr>
        <w:t xml:space="preserve"> обучающихся в муниципальных общеобразовательных учреждениях</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shd w:val="clear" w:color="auto" w:fill="FFFFFF"/>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2023 году осмотренных детей, обучающихся в муниципальных общеобразовательных учреждениях, составило 2470 человек, из них число детей первой и второй групп здоровья составило 2093 человек. Доля детей первой и второй групп здоровья в общей </w:t>
      </w:r>
      <w:proofErr w:type="gramStart"/>
      <w:r>
        <w:rPr>
          <w:rFonts w:ascii="Times New Roman CYR" w:hAnsi="Times New Roman CYR" w:cs="Times New Roman CYR"/>
          <w:sz w:val="24"/>
          <w:szCs w:val="24"/>
        </w:rPr>
        <w:t>численности</w:t>
      </w:r>
      <w:proofErr w:type="gramEnd"/>
      <w:r>
        <w:rPr>
          <w:rFonts w:ascii="Times New Roman CYR" w:hAnsi="Times New Roman CYR" w:cs="Times New Roman CYR"/>
          <w:sz w:val="24"/>
          <w:szCs w:val="24"/>
        </w:rPr>
        <w:t xml:space="preserve"> обучающихся в муниципальных общеобразовательных учреждениях в 2023г. составила 84,74%.</w:t>
      </w:r>
    </w:p>
    <w:p w:rsidR="00407610" w:rsidRDefault="007A42AD">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2024 году было осмотрено 2406 детей, из них число детей первой и второй групп здоровья составило 2049 человек. Доля детей первой и второй групп здоровья в общей </w:t>
      </w:r>
      <w:proofErr w:type="gramStart"/>
      <w:r>
        <w:rPr>
          <w:rFonts w:ascii="Times New Roman CYR" w:hAnsi="Times New Roman CYR" w:cs="Times New Roman CYR"/>
          <w:sz w:val="24"/>
          <w:szCs w:val="24"/>
        </w:rPr>
        <w:t>численности</w:t>
      </w:r>
      <w:proofErr w:type="gramEnd"/>
      <w:r>
        <w:rPr>
          <w:rFonts w:ascii="Times New Roman CYR" w:hAnsi="Times New Roman CYR" w:cs="Times New Roman CYR"/>
          <w:sz w:val="24"/>
          <w:szCs w:val="24"/>
        </w:rPr>
        <w:t xml:space="preserve"> обучающихся в муниципальных общеобразовательных учреждениях в 2024г. составила 85,16%. К 2027г. данный показатель планируется увеличить до 85,21%.</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 xml:space="preserve">17.Доля обучающихся в муниципальных общеобразовательных учреждениях, занимающихся во вторую (третью) смену, в общей </w:t>
      </w:r>
      <w:proofErr w:type="gramStart"/>
      <w:r w:rsidRPr="006B5DE2">
        <w:rPr>
          <w:rFonts w:ascii="Times New Roman CYR" w:hAnsi="Times New Roman CYR" w:cs="Times New Roman CYR"/>
          <w:b/>
          <w:bCs/>
          <w:color w:val="000000"/>
          <w:sz w:val="24"/>
          <w:szCs w:val="24"/>
        </w:rPr>
        <w:t>численности</w:t>
      </w:r>
      <w:proofErr w:type="gramEnd"/>
      <w:r w:rsidRPr="006B5DE2">
        <w:rPr>
          <w:rFonts w:ascii="Times New Roman CYR" w:hAnsi="Times New Roman CYR" w:cs="Times New Roman CYR"/>
          <w:b/>
          <w:bCs/>
          <w:color w:val="000000"/>
          <w:sz w:val="24"/>
          <w:szCs w:val="24"/>
        </w:rPr>
        <w:t xml:space="preserve"> обучающихся в муниципальных общеобразовательных учреждениях</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before="100" w:after="10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 xml:space="preserve">В 3 общеобразовательных учреждениях из 5, что составляет 60% от общего количества общеобразовательных учреждений, обучение осуществляется в 2 смены. Всего во вторую смену обучается 498 учеников из 2412. Доля обучающихся в муниципальных общеобразовательных учреждениях, занимающихся во вторую смену, в общей </w:t>
      </w:r>
      <w:proofErr w:type="gramStart"/>
      <w:r>
        <w:rPr>
          <w:rFonts w:ascii="Times New Roman CYR" w:hAnsi="Times New Roman CYR" w:cs="Times New Roman CYR"/>
          <w:sz w:val="24"/>
          <w:szCs w:val="24"/>
        </w:rPr>
        <w:t>численности</w:t>
      </w:r>
      <w:proofErr w:type="gramEnd"/>
      <w:r>
        <w:rPr>
          <w:rFonts w:ascii="Times New Roman CYR" w:hAnsi="Times New Roman CYR" w:cs="Times New Roman CYR"/>
          <w:sz w:val="24"/>
          <w:szCs w:val="24"/>
        </w:rPr>
        <w:t xml:space="preserve"> обучающихся в муниципальных общеобразовательных учреждениях, составляет 20,65 %, что на 1,41% меньше чем в 2023 году.</w:t>
      </w: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в 2024 году составляют 36,76 тыс. рублей, что на 4,17 </w:t>
      </w:r>
      <w:proofErr w:type="spellStart"/>
      <w:r>
        <w:rPr>
          <w:rFonts w:ascii="Times New Roman CYR" w:hAnsi="Times New Roman CYR" w:cs="Times New Roman CYR"/>
          <w:sz w:val="24"/>
          <w:szCs w:val="24"/>
        </w:rPr>
        <w:t>тыс</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уб</w:t>
      </w:r>
      <w:proofErr w:type="spellEnd"/>
      <w:r>
        <w:rPr>
          <w:rFonts w:ascii="Times New Roman CYR" w:hAnsi="Times New Roman CYR" w:cs="Times New Roman CYR"/>
          <w:sz w:val="24"/>
          <w:szCs w:val="24"/>
        </w:rPr>
        <w:t>. больше чем в 2023г.</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color w:val="FF0000"/>
          <w:sz w:val="24"/>
          <w:szCs w:val="24"/>
        </w:rPr>
      </w:pPr>
      <w:r>
        <w:rPr>
          <w:rFonts w:ascii="Times New Roman CYR" w:hAnsi="Times New Roman CYR" w:cs="Times New Roman CYR"/>
          <w:sz w:val="24"/>
          <w:szCs w:val="24"/>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составляет </w:t>
      </w:r>
      <w:r w:rsidRPr="00335081">
        <w:rPr>
          <w:rFonts w:ascii="Times New Roman" w:hAnsi="Times New Roman"/>
          <w:sz w:val="24"/>
          <w:szCs w:val="24"/>
        </w:rPr>
        <w:t>94</w:t>
      </w:r>
      <w:r>
        <w:rPr>
          <w:rFonts w:ascii="Times New Roman CYR" w:hAnsi="Times New Roman CYR" w:cs="Times New Roman CYR"/>
          <w:sz w:val="24"/>
          <w:szCs w:val="24"/>
        </w:rPr>
        <w:t>,23 %.</w:t>
      </w:r>
      <w:r>
        <w:rPr>
          <w:rFonts w:ascii="Times New Roman CYR" w:hAnsi="Times New Roman CYR" w:cs="Times New Roman CYR"/>
          <w:color w:val="FF0000"/>
          <w:sz w:val="24"/>
          <w:szCs w:val="24"/>
        </w:rPr>
        <w:t xml:space="preserve"> </w:t>
      </w: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Всего детей данной возрастной категории на территории города Енисейска 2896 чел. </w:t>
      </w:r>
      <w:proofErr w:type="gramStart"/>
      <w:r>
        <w:rPr>
          <w:rFonts w:ascii="Times New Roman CYR" w:hAnsi="Times New Roman CYR" w:cs="Times New Roman CYR"/>
          <w:sz w:val="24"/>
          <w:szCs w:val="24"/>
        </w:rPr>
        <w:t>Обучение по программам</w:t>
      </w:r>
      <w:proofErr w:type="gramEnd"/>
      <w:r>
        <w:rPr>
          <w:rFonts w:ascii="Times New Roman CYR" w:hAnsi="Times New Roman CYR" w:cs="Times New Roman CYR"/>
          <w:sz w:val="24"/>
          <w:szCs w:val="24"/>
        </w:rPr>
        <w:t xml:space="preserve"> дополнительного образования в учреждениях, находящихся в ведении управления образования и спортивная школа, по данным «Навигатор» 67,09 % (1943 чел.). Дети, обучающиеся по программам дополнительного образования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образовательных</w:t>
      </w:r>
      <w:proofErr w:type="gramEnd"/>
      <w:r>
        <w:rPr>
          <w:rFonts w:ascii="Times New Roman CYR" w:hAnsi="Times New Roman CYR" w:cs="Times New Roman CYR"/>
          <w:sz w:val="24"/>
          <w:szCs w:val="24"/>
        </w:rPr>
        <w:t xml:space="preserve"> учреждений культуры 23,83% (690 чел.)</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IV. Культура</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20.Уровень фактической обеспеченности учреждениями культуры от нормативной потребности:</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клуба</w:t>
      </w:r>
      <w:r w:rsidR="006B5DE2">
        <w:rPr>
          <w:rFonts w:ascii="Times New Roman CYR" w:hAnsi="Times New Roman CYR" w:cs="Times New Roman CYR"/>
          <w:b/>
          <w:bCs/>
          <w:color w:val="000000"/>
          <w:sz w:val="24"/>
          <w:szCs w:val="24"/>
        </w:rPr>
        <w:t>ми и учреждениями клубного типа: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Уровень фактической обеспеченности населения г. Енисейска учреждениями клубного типа от нормативной потребности в 2024 году составил 100% (учитывается 1 учреждение на 20 тыс. человек населения).  </w:t>
      </w:r>
      <w:r>
        <w:rPr>
          <w:rFonts w:cs="Calibri"/>
        </w:rPr>
        <w:t xml:space="preserve"> </w:t>
      </w:r>
    </w:p>
    <w:p w:rsidR="00407610" w:rsidRDefault="007A42AD">
      <w:pPr>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территории города Енисейска функционируют 2 учреждения клубного типа: муниципальное бюджетное учреждение культуры "Городской Дом культуры" имени А.О. Арутюняна и муниципальное бюджетное учреждение культуры "Культурный центр" г. Енисейска. </w:t>
      </w:r>
    </w:p>
    <w:p w:rsidR="00407610" w:rsidRDefault="007A42AD">
      <w:pPr>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связи с протяженностью города и наличием микрорайонов было принято решение о создании 2 учреждений клубного типа с целью обеспечения доступности населению услуг учреждений клубного типа. </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B5DE2" w:rsidRDefault="006B5DE2">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6B5DE2">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lastRenderedPageBreak/>
        <w:t>библиотеками:</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Согласно нормативно-правовым документам (Базовые нормы ресурсного обеспечения услуг муниципальной публичной библиотеки Красноярского края, одобренные Главной коллегией министерства культуры Красноярского края 17.04.2012) на территории муниципального образования должно быть организовано информационно-библиотечное обслуживание населения. Исходя из численности населения (городской округ с численностью населения до 50 тыс. чел. населения)  на территории города Енисейска необходимо разместить 1 общедоступную универсальную библиотеку (ЦГБ), 1 детскую библиотеку. </w:t>
      </w:r>
    </w:p>
    <w:p w:rsidR="00407610" w:rsidRDefault="007A42AD">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Наличие филиалов определяется местными особенностями населенного пункта (потребностями населения): библиотечный пункт должен находиться в шаговой доступности для жителей. Расстояние от места проживания основной части населения микрорайона до библиотеки не должно превышать 30 минут пешеходного движения или на общественном транспорте (не более 5 км.)</w:t>
      </w:r>
    </w:p>
    <w:p w:rsidR="00407610" w:rsidRDefault="007A42AD">
      <w:pPr>
        <w:autoSpaceDE w:val="0"/>
        <w:autoSpaceDN w:val="0"/>
        <w:adjustRightInd w:val="0"/>
        <w:spacing w:after="0"/>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 сегодняшний день на территории города Енисейска функционирует централизованная библиотечная система, состоящая из 1 центральной городской библиотеки, 1 детской библиотеки и 2 филиалов – что позволяет обеспечить на территории города Енисейска полноценное информационно-библиотечное обслуживание населения.</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парками культуры и отдыха.</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21.Доля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sz w:val="24"/>
          <w:szCs w:val="24"/>
        </w:rPr>
      </w:pPr>
    </w:p>
    <w:p w:rsidR="00407610" w:rsidRDefault="007A42AD">
      <w:pPr>
        <w:widowControl w:val="0"/>
        <w:autoSpaceDE w:val="0"/>
        <w:autoSpaceDN w:val="0"/>
        <w:adjustRightInd w:val="0"/>
        <w:spacing w:after="0"/>
        <w:jc w:val="both"/>
        <w:rPr>
          <w:rFonts w:ascii="Times New Roman CYR" w:hAnsi="Times New Roman CYR" w:cs="Times New Roman CYR"/>
          <w:b/>
          <w:bCs/>
          <w:sz w:val="24"/>
          <w:szCs w:val="24"/>
        </w:rPr>
      </w:pPr>
      <w:r>
        <w:rPr>
          <w:rFonts w:ascii="Times New Roman CYR" w:hAnsi="Times New Roman CYR" w:cs="Times New Roman CYR"/>
          <w:sz w:val="24"/>
          <w:szCs w:val="24"/>
        </w:rPr>
        <w:tab/>
        <w:t xml:space="preserve">Большинство учреждений культуры г. Енисейска располагаются в зданиях - объектах культурного наследия (МБУК «Культурный центр», ул. Ленина, 130; МБУК «Централизованная библиотечная система», ул. Ленина, 95, ул. Петровского, 7 – детская библиотека; МБУДО «Детская хореографическая школа», ул. Петровского, 1; МБУДО "Детская художественная школа имени </w:t>
      </w:r>
      <w:proofErr w:type="spellStart"/>
      <w:r>
        <w:rPr>
          <w:rFonts w:ascii="Times New Roman CYR" w:hAnsi="Times New Roman CYR" w:cs="Times New Roman CYR"/>
          <w:sz w:val="24"/>
          <w:szCs w:val="24"/>
        </w:rPr>
        <w:t>Н.Ф.Дорогова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w:t>
      </w:r>
      <w:proofErr w:type="gramStart"/>
      <w:r>
        <w:rPr>
          <w:rFonts w:ascii="Times New Roman CYR" w:hAnsi="Times New Roman CYR" w:cs="Times New Roman CYR"/>
          <w:sz w:val="24"/>
          <w:szCs w:val="24"/>
        </w:rPr>
        <w:t>.Е</w:t>
      </w:r>
      <w:proofErr w:type="gramEnd"/>
      <w:r>
        <w:rPr>
          <w:rFonts w:ascii="Times New Roman CYR" w:hAnsi="Times New Roman CYR" w:cs="Times New Roman CYR"/>
          <w:sz w:val="24"/>
          <w:szCs w:val="24"/>
        </w:rPr>
        <w:t>нисейска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ул.Диктатуры</w:t>
      </w:r>
      <w:proofErr w:type="spellEnd"/>
      <w:r>
        <w:rPr>
          <w:rFonts w:ascii="Times New Roman CYR" w:hAnsi="Times New Roman CYR" w:cs="Times New Roman CYR"/>
          <w:sz w:val="24"/>
          <w:szCs w:val="24"/>
        </w:rPr>
        <w:t xml:space="preserve"> Пролетариата,5). </w:t>
      </w:r>
    </w:p>
    <w:p w:rsidR="00407610" w:rsidRDefault="007A42AD">
      <w:pPr>
        <w:autoSpaceDE w:val="0"/>
        <w:autoSpaceDN w:val="0"/>
        <w:adjustRightInd w:val="0"/>
        <w:spacing w:after="0"/>
        <w:ind w:firstLine="708"/>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результате исполнения мероприятий подпрограммы «Подготовка к 400-летию города Енисейска в 2019 году», реализуемой в  рамках государственной программы Красноярского края «Развитие культуры и туризма», почти во всех зданиях – объектах культурного наследия, в которых расположены учреждения культуры, проведены ремонтно-реставрационные работы (МБУК «Культурный центр», ул. Ленина, 130; МБУК «Централизованная библиотечная система», ул. Ленина, 95, ул. Петровского, 7;</w:t>
      </w:r>
      <w:proofErr w:type="gramEnd"/>
      <w:r>
        <w:rPr>
          <w:rFonts w:ascii="Times New Roman CYR" w:hAnsi="Times New Roman CYR" w:cs="Times New Roman CYR"/>
          <w:sz w:val="24"/>
          <w:szCs w:val="24"/>
        </w:rPr>
        <w:t xml:space="preserve"> МБУДО «Детская хореографическая школа», ул. </w:t>
      </w:r>
      <w:proofErr w:type="gramStart"/>
      <w:r>
        <w:rPr>
          <w:rFonts w:ascii="Times New Roman CYR" w:hAnsi="Times New Roman CYR" w:cs="Times New Roman CYR"/>
          <w:sz w:val="24"/>
          <w:szCs w:val="24"/>
        </w:rPr>
        <w:t>Петровского</w:t>
      </w:r>
      <w:proofErr w:type="gramEnd"/>
      <w:r>
        <w:rPr>
          <w:rFonts w:ascii="Times New Roman CYR" w:hAnsi="Times New Roman CYR" w:cs="Times New Roman CYR"/>
          <w:sz w:val="24"/>
          <w:szCs w:val="24"/>
        </w:rPr>
        <w:t xml:space="preserve">, 1). </w:t>
      </w:r>
    </w:p>
    <w:p w:rsidR="00407610" w:rsidRDefault="007A42AD">
      <w:pPr>
        <w:autoSpaceDE w:val="0"/>
        <w:autoSpaceDN w:val="0"/>
        <w:adjustRightInd w:val="0"/>
        <w:spacing w:after="0"/>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 сегодняшний день в отрасли «культура» г. Енисейска функционируют 6 учреждений – 12 зданий, 2 из которых (МБУК «ГДК», выставочный зал МБУК «Культурный центр») требуют проведения капитальных и ремонтно-реставрационных работ, это 16,66%.</w:t>
      </w:r>
    </w:p>
    <w:p w:rsidR="00407610" w:rsidRDefault="007A42AD">
      <w:pPr>
        <w:autoSpaceDE w:val="0"/>
        <w:autoSpaceDN w:val="0"/>
        <w:adjustRightInd w:val="0"/>
        <w:spacing w:after="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прошлом году было 15,38%. Показатель увеличился на – 1,28%. Расчет изменился, в связи с тем, что в отрасли культуры в 2024 году 12 зданий вместо 13 (МБУК "КЦ" передал </w:t>
      </w:r>
      <w:r>
        <w:rPr>
          <w:rFonts w:ascii="Times New Roman CYR" w:hAnsi="Times New Roman CYR" w:cs="Times New Roman CYR"/>
          <w:sz w:val="24"/>
          <w:szCs w:val="24"/>
        </w:rPr>
        <w:lastRenderedPageBreak/>
        <w:t>помещение по адресу: ул</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енина,124 обратно в казну). Входная группа выставочного зала МБУК «КЦ» требует проведение работ по капитальному ремонту или реконструкции.</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городе Енисейске в муниципальной собственности состоят 42 объекта, из них 28 объектов требуют реставрации, что составляет 66,7% . </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V. Физическая культура и спорт</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23. Доля населения, систематически занимающегося физической культурой и спортом</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Доля населения, систематически занимающегося физической культурой и спортом в 2022 году составила 46,66 %, в 2023 – 51,31 %, в 2024 - 54,02 %. Увеличение показателя происходит за счет увеличения количества занятий в коллективах и организациях всех форм физкультурной направленности, а также за счет прироста количества занимающихся в тренажерных залах, клубах по месту жительства; расширение программы по видам спорта в городской спартакиаде трудовых коллективов;</w:t>
      </w:r>
      <w:proofErr w:type="gramEnd"/>
      <w:r>
        <w:rPr>
          <w:rFonts w:ascii="Times New Roman CYR" w:hAnsi="Times New Roman CYR" w:cs="Times New Roman CYR"/>
          <w:color w:val="000000"/>
          <w:sz w:val="24"/>
          <w:szCs w:val="24"/>
        </w:rPr>
        <w:t xml:space="preserve"> увеличение спортивных секций в физкультурно-спортивном центре «Юбилейный», а так же за счет </w:t>
      </w:r>
      <w:r>
        <w:rPr>
          <w:rFonts w:ascii="Times New Roman CYR" w:hAnsi="Times New Roman CYR" w:cs="Times New Roman CYR"/>
          <w:sz w:val="24"/>
          <w:szCs w:val="24"/>
        </w:rPr>
        <w:t xml:space="preserve">введения в эксплуатацию спортивного плоскостного сооружения на территории микрорайона «ДРСУ»- площадки с тренажерами, за счет средств краевого бюджета, а также ввода в эксплуатацию площадки для игры в баскетбол построенной в рамках краевого конкурса «Лучших проектов создания комфортной городской среды», </w:t>
      </w:r>
      <w:proofErr w:type="spellStart"/>
      <w:r>
        <w:rPr>
          <w:rFonts w:ascii="Times New Roman CYR" w:hAnsi="Times New Roman CYR" w:cs="Times New Roman CYR"/>
          <w:sz w:val="24"/>
          <w:szCs w:val="24"/>
        </w:rPr>
        <w:t>ул</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уйбышева</w:t>
      </w:r>
      <w:proofErr w:type="spellEnd"/>
      <w:r>
        <w:rPr>
          <w:rFonts w:ascii="Times New Roman CYR" w:hAnsi="Times New Roman CYR" w:cs="Times New Roman CYR"/>
          <w:sz w:val="24"/>
          <w:szCs w:val="24"/>
        </w:rPr>
        <w:t xml:space="preserve"> 43 "А".</w:t>
      </w: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В дальнейшем данный показатель будет увеличиваться: в 2025 году - 57,22%, в 2026 – 60,87%, в 2027 – 64,26 % за счет увеличения систематических занятий физической культурой и спортом в рамках проекта "Дворовый инструктор", за счет проведения физкультурно-спортивных мероприятий и занятий в рамках краевой программы "Сибирское активное долголетие", а также строительства новых плоскостных спортсооружений и ввода их в эксплуатацию.</w:t>
      </w:r>
      <w:proofErr w:type="gramEnd"/>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 xml:space="preserve">23.1.Доля </w:t>
      </w:r>
      <w:proofErr w:type="gramStart"/>
      <w:r w:rsidRPr="006B5DE2">
        <w:rPr>
          <w:rFonts w:ascii="Times New Roman CYR" w:hAnsi="Times New Roman CYR" w:cs="Times New Roman CYR"/>
          <w:b/>
          <w:bCs/>
          <w:color w:val="000000"/>
          <w:sz w:val="24"/>
          <w:szCs w:val="24"/>
        </w:rPr>
        <w:t>обучающихся</w:t>
      </w:r>
      <w:proofErr w:type="gramEnd"/>
      <w:r w:rsidRPr="006B5DE2">
        <w:rPr>
          <w:rFonts w:ascii="Times New Roman CYR" w:hAnsi="Times New Roman CYR" w:cs="Times New Roman CYR"/>
          <w:b/>
          <w:bCs/>
          <w:color w:val="000000"/>
          <w:sz w:val="24"/>
          <w:szCs w:val="24"/>
        </w:rPr>
        <w:t>, систематически занимающихся физической культурой и спортом, в общей численности обучающихся</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Доля обучающихся, систематически занимающихся физической культурой и спортом в общей </w:t>
      </w:r>
      <w:proofErr w:type="gramStart"/>
      <w:r>
        <w:rPr>
          <w:rFonts w:ascii="Times New Roman CYR" w:hAnsi="Times New Roman CYR" w:cs="Times New Roman CYR"/>
          <w:color w:val="000000"/>
          <w:sz w:val="24"/>
          <w:szCs w:val="24"/>
        </w:rPr>
        <w:t>численности</w:t>
      </w:r>
      <w:proofErr w:type="gramEnd"/>
      <w:r>
        <w:rPr>
          <w:rFonts w:ascii="Times New Roman CYR" w:hAnsi="Times New Roman CYR" w:cs="Times New Roman CYR"/>
          <w:color w:val="000000"/>
          <w:sz w:val="24"/>
          <w:szCs w:val="24"/>
        </w:rPr>
        <w:t xml:space="preserve"> обучающихся в 2022 году - 69,35%, в 2023- 79,64%, в 2024-78,88%.  Прогноз на 2025 год - 88,02</w:t>
      </w:r>
      <w:r>
        <w:rPr>
          <w:rFonts w:ascii="Times New Roman CYR" w:hAnsi="Times New Roman CYR" w:cs="Times New Roman CYR"/>
          <w:sz w:val="24"/>
          <w:szCs w:val="24"/>
        </w:rPr>
        <w:t>%, 2026 год - 85,48%, 2027 год - 88,78%</w:t>
      </w:r>
      <w:r>
        <w:rPr>
          <w:rFonts w:ascii="Times New Roman CYR" w:hAnsi="Times New Roman CYR" w:cs="Times New Roman CYR"/>
          <w:color w:val="000000"/>
          <w:sz w:val="24"/>
          <w:szCs w:val="24"/>
        </w:rPr>
        <w:t>. Данный показатель увеличивается за счет работы клубов по месту жительства и учебы, занятий в секциях спортивной школы, в общеобразовательных школах, техникуме, колледже, спортивных секций в физкультурно-спортивном центре, а так же за счет подготовки к сдаче и сдачи норм  ВФСК ГТО.</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VI. Жилищное строительство и обеспечение граждан жильем</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24. Общая площадь жилых помещений, приходящаяся в среднем на одного жителя</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3" w:lineRule="atLeast"/>
        <w:ind w:firstLine="709"/>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Администрация города, не смотря на незначительную налогооблагаемую базу, прилагает всё возможное для  участия города в программах по жилищному строительству. На территории города предоставляются земельные участки под индивидуальное жилищное строительство. В 2020-2021 годах осуществлялось строительство многоквартирных домов.</w:t>
      </w:r>
      <w:r w:rsidRPr="00335081">
        <w:rPr>
          <w:rFonts w:ascii="Times New Roman" w:hAnsi="Times New Roman"/>
          <w:sz w:val="26"/>
          <w:szCs w:val="26"/>
        </w:rPr>
        <w:t xml:space="preserve"> </w:t>
      </w:r>
      <w:r>
        <w:rPr>
          <w:rFonts w:ascii="Times New Roman CYR" w:hAnsi="Times New Roman CYR" w:cs="Times New Roman CYR"/>
          <w:sz w:val="26"/>
          <w:szCs w:val="26"/>
        </w:rPr>
        <w:t xml:space="preserve">В 2023-2024 годах сформированы земельные участки </w:t>
      </w:r>
      <w:proofErr w:type="gramStart"/>
      <w:r>
        <w:rPr>
          <w:rFonts w:ascii="Times New Roman CYR" w:hAnsi="Times New Roman CYR" w:cs="Times New Roman CYR"/>
          <w:sz w:val="26"/>
          <w:szCs w:val="26"/>
        </w:rPr>
        <w:t>для последующего строительства многоквартирных домов в городе Енисейске в рамках программы по переселению граждан из аварийного жилищного фонда</w:t>
      </w:r>
      <w:proofErr w:type="gramEnd"/>
      <w:r>
        <w:rPr>
          <w:rFonts w:ascii="Times New Roman CYR" w:hAnsi="Times New Roman CYR" w:cs="Times New Roman CYR"/>
          <w:sz w:val="26"/>
          <w:szCs w:val="26"/>
        </w:rPr>
        <w:t xml:space="preserve"> Красноярского края.</w:t>
      </w:r>
    </w:p>
    <w:p w:rsidR="00407610" w:rsidRDefault="007A42AD">
      <w:pPr>
        <w:autoSpaceDE w:val="0"/>
        <w:autoSpaceDN w:val="0"/>
        <w:adjustRightInd w:val="0"/>
        <w:spacing w:after="0" w:line="23" w:lineRule="atLeast"/>
        <w:ind w:firstLine="709"/>
        <w:jc w:val="both"/>
        <w:rPr>
          <w:rFonts w:ascii="Times New Roman CYR" w:hAnsi="Times New Roman CYR" w:cs="Times New Roman CYR"/>
          <w:sz w:val="26"/>
          <w:szCs w:val="26"/>
        </w:rPr>
      </w:pPr>
      <w:r>
        <w:rPr>
          <w:rFonts w:ascii="Times New Roman CYR" w:hAnsi="Times New Roman CYR" w:cs="Times New Roman CYR"/>
          <w:b/>
          <w:bCs/>
          <w:sz w:val="26"/>
          <w:szCs w:val="26"/>
        </w:rPr>
        <w:t>Общая площадь жилых помещений, приходящаяся в среднем на одного жителя</w:t>
      </w:r>
      <w:r>
        <w:rPr>
          <w:rFonts w:ascii="Times New Roman CYR" w:hAnsi="Times New Roman CYR" w:cs="Times New Roman CYR"/>
          <w:sz w:val="26"/>
          <w:szCs w:val="26"/>
        </w:rPr>
        <w:t xml:space="preserve">, рассчитана исходя из общей площади жилищного фонда в муниципальном образовании (Справка № 1-Жилфонд) и численности населения города по состоянию </w:t>
      </w:r>
      <w:proofErr w:type="gramStart"/>
      <w:r>
        <w:rPr>
          <w:rFonts w:ascii="Times New Roman CYR" w:hAnsi="Times New Roman CYR" w:cs="Times New Roman CYR"/>
          <w:sz w:val="26"/>
          <w:szCs w:val="26"/>
        </w:rPr>
        <w:t>на конец</w:t>
      </w:r>
      <w:proofErr w:type="gramEnd"/>
      <w:r>
        <w:rPr>
          <w:rFonts w:ascii="Times New Roman CYR" w:hAnsi="Times New Roman CYR" w:cs="Times New Roman CYR"/>
          <w:sz w:val="26"/>
          <w:szCs w:val="26"/>
        </w:rPr>
        <w:t xml:space="preserve"> 2024 года.</w:t>
      </w:r>
    </w:p>
    <w:tbl>
      <w:tblPr>
        <w:tblW w:w="0" w:type="auto"/>
        <w:tblInd w:w="93" w:type="dxa"/>
        <w:tblLayout w:type="fixed"/>
        <w:tblLook w:val="0000" w:firstRow="0" w:lastRow="0" w:firstColumn="0" w:lastColumn="0" w:noHBand="0" w:noVBand="0"/>
      </w:tblPr>
      <w:tblGrid>
        <w:gridCol w:w="4975"/>
        <w:gridCol w:w="852"/>
        <w:gridCol w:w="851"/>
        <w:gridCol w:w="864"/>
        <w:gridCol w:w="1033"/>
        <w:gridCol w:w="1033"/>
      </w:tblGrid>
      <w:tr w:rsidR="00407610" w:rsidRPr="007A42AD">
        <w:trPr>
          <w:trHeight w:val="600"/>
        </w:trPr>
        <w:tc>
          <w:tcPr>
            <w:tcW w:w="9608" w:type="dxa"/>
            <w:gridSpan w:val="6"/>
            <w:tcBorders>
              <w:top w:val="nil"/>
              <w:left w:val="nil"/>
              <w:bottom w:val="nil"/>
              <w:right w:val="nil"/>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rPr>
            </w:pPr>
            <w:r w:rsidRPr="007A42AD">
              <w:rPr>
                <w:rFonts w:ascii="Times New Roman CYR" w:hAnsi="Times New Roman CYR" w:cs="Times New Roman CYR"/>
                <w:b/>
                <w:bCs/>
                <w:color w:val="000000"/>
              </w:rPr>
              <w:t>24. Общая площадь жилых помещений, приходящаяся в среднем на одного жителя, - всего</w:t>
            </w:r>
          </w:p>
        </w:tc>
      </w:tr>
      <w:tr w:rsidR="00407610" w:rsidRPr="007A42AD">
        <w:trPr>
          <w:trHeight w:val="518"/>
        </w:trPr>
        <w:tc>
          <w:tcPr>
            <w:tcW w:w="4975" w:type="dxa"/>
            <w:vMerge w:val="restart"/>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Наименование показателя и единицы измерения</w:t>
            </w:r>
          </w:p>
        </w:tc>
        <w:tc>
          <w:tcPr>
            <w:tcW w:w="4633" w:type="dxa"/>
            <w:gridSpan w:val="5"/>
            <w:tcBorders>
              <w:top w:val="single" w:sz="4" w:space="0" w:color="auto"/>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Значения показателя</w:t>
            </w:r>
          </w:p>
        </w:tc>
      </w:tr>
      <w:tr w:rsidR="00407610" w:rsidRPr="007A42AD">
        <w:trPr>
          <w:trHeight w:val="600"/>
        </w:trPr>
        <w:tc>
          <w:tcPr>
            <w:tcW w:w="4975" w:type="dxa"/>
            <w:vMerge/>
            <w:tcBorders>
              <w:top w:val="nil"/>
              <w:left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rPr>
            </w:pPr>
          </w:p>
        </w:tc>
        <w:tc>
          <w:tcPr>
            <w:tcW w:w="85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2023 факт</w:t>
            </w:r>
          </w:p>
        </w:tc>
        <w:tc>
          <w:tcPr>
            <w:tcW w:w="851"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2024 факт</w:t>
            </w:r>
          </w:p>
        </w:tc>
        <w:tc>
          <w:tcPr>
            <w:tcW w:w="86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2025 оценка</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2026 прогноз</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2027 прогноз</w:t>
            </w:r>
          </w:p>
        </w:tc>
      </w:tr>
      <w:tr w:rsidR="00407610" w:rsidRPr="007A42AD">
        <w:trPr>
          <w:trHeight w:val="900"/>
        </w:trPr>
        <w:tc>
          <w:tcPr>
            <w:tcW w:w="4975"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rPr>
            </w:pPr>
            <w:r w:rsidRPr="007A42AD">
              <w:rPr>
                <w:rFonts w:ascii="Times New Roman CYR" w:hAnsi="Times New Roman CYR" w:cs="Times New Roman CYR"/>
                <w:color w:val="000000"/>
              </w:rPr>
              <w:t xml:space="preserve">1. Общая площадь жилых помещений, </w:t>
            </w:r>
            <w:proofErr w:type="spellStart"/>
            <w:r w:rsidRPr="007A42AD">
              <w:rPr>
                <w:rFonts w:ascii="Times New Roman CYR" w:hAnsi="Times New Roman CYR" w:cs="Times New Roman CYR"/>
                <w:color w:val="000000"/>
              </w:rPr>
              <w:t>кв</w:t>
            </w:r>
            <w:proofErr w:type="gramStart"/>
            <w:r w:rsidRPr="007A42AD">
              <w:rPr>
                <w:rFonts w:ascii="Times New Roman CYR" w:hAnsi="Times New Roman CYR" w:cs="Times New Roman CYR"/>
                <w:color w:val="000000"/>
              </w:rPr>
              <w:t>.м</w:t>
            </w:r>
            <w:proofErr w:type="spellEnd"/>
            <w:proofErr w:type="gramEnd"/>
            <w:r w:rsidRPr="007A42AD">
              <w:rPr>
                <w:rFonts w:ascii="Times New Roman CYR" w:hAnsi="Times New Roman CYR" w:cs="Times New Roman CYR"/>
                <w:color w:val="000000"/>
              </w:rPr>
              <w:br/>
            </w:r>
            <w:r w:rsidRPr="007A42AD">
              <w:rPr>
                <w:rFonts w:ascii="Times New Roman CYR" w:hAnsi="Times New Roman CYR" w:cs="Times New Roman CYR"/>
                <w:i/>
                <w:iCs/>
                <w:color w:val="000000"/>
              </w:rPr>
              <w:t xml:space="preserve"> (по данным статистического отчета 1-жилфонд строка 01 графа 1)</w:t>
            </w:r>
          </w:p>
        </w:tc>
        <w:tc>
          <w:tcPr>
            <w:tcW w:w="85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54748</w:t>
            </w:r>
            <w:r w:rsidRPr="007A42AD">
              <w:rPr>
                <w:rFonts w:ascii="Times New Roman" w:hAnsi="Times New Roman"/>
                <w:lang w:val="en-US"/>
              </w:rPr>
              <w:t>0</w:t>
            </w:r>
          </w:p>
        </w:tc>
        <w:tc>
          <w:tcPr>
            <w:tcW w:w="851"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55</w:t>
            </w:r>
            <w:r w:rsidRPr="007A42AD">
              <w:rPr>
                <w:rFonts w:ascii="Times New Roman" w:hAnsi="Times New Roman"/>
                <w:lang w:val="en-US"/>
              </w:rPr>
              <w:t>3600</w:t>
            </w:r>
          </w:p>
        </w:tc>
        <w:tc>
          <w:tcPr>
            <w:tcW w:w="86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553</w:t>
            </w:r>
            <w:r w:rsidRPr="007A42AD">
              <w:rPr>
                <w:rFonts w:ascii="Times New Roman" w:hAnsi="Times New Roman"/>
                <w:lang w:val="en-US"/>
              </w:rPr>
              <w:t>600</w:t>
            </w:r>
          </w:p>
        </w:tc>
        <w:tc>
          <w:tcPr>
            <w:tcW w:w="1033"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556</w:t>
            </w:r>
            <w:r w:rsidRPr="007A42AD">
              <w:rPr>
                <w:rFonts w:ascii="Times New Roman" w:hAnsi="Times New Roman"/>
                <w:lang w:val="en-US"/>
              </w:rPr>
              <w:t>800</w:t>
            </w:r>
          </w:p>
        </w:tc>
        <w:tc>
          <w:tcPr>
            <w:tcW w:w="1033"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562</w:t>
            </w:r>
            <w:r w:rsidRPr="007A42AD">
              <w:rPr>
                <w:rFonts w:ascii="Times New Roman" w:hAnsi="Times New Roman"/>
                <w:lang w:val="en-US"/>
              </w:rPr>
              <w:t>750</w:t>
            </w:r>
          </w:p>
        </w:tc>
      </w:tr>
      <w:tr w:rsidR="00407610" w:rsidRPr="007A42AD">
        <w:trPr>
          <w:trHeight w:val="600"/>
        </w:trPr>
        <w:tc>
          <w:tcPr>
            <w:tcW w:w="4975"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rPr>
            </w:pPr>
            <w:r w:rsidRPr="007A42AD">
              <w:rPr>
                <w:rFonts w:ascii="Times New Roman CYR" w:hAnsi="Times New Roman CYR" w:cs="Times New Roman CYR"/>
                <w:color w:val="000000"/>
              </w:rPr>
              <w:t xml:space="preserve">2. Введено жилых помещений за отчетный период, </w:t>
            </w:r>
            <w:proofErr w:type="spellStart"/>
            <w:r w:rsidRPr="007A42AD">
              <w:rPr>
                <w:rFonts w:ascii="Times New Roman CYR" w:hAnsi="Times New Roman CYR" w:cs="Times New Roman CYR"/>
                <w:color w:val="000000"/>
              </w:rPr>
              <w:t>кв</w:t>
            </w:r>
            <w:proofErr w:type="gramStart"/>
            <w:r w:rsidRPr="007A42AD">
              <w:rPr>
                <w:rFonts w:ascii="Times New Roman CYR" w:hAnsi="Times New Roman CYR" w:cs="Times New Roman CYR"/>
                <w:color w:val="000000"/>
              </w:rPr>
              <w:t>.м</w:t>
            </w:r>
            <w:proofErr w:type="spellEnd"/>
            <w:proofErr w:type="gramEnd"/>
          </w:p>
        </w:tc>
        <w:tc>
          <w:tcPr>
            <w:tcW w:w="85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4 340</w:t>
            </w:r>
          </w:p>
        </w:tc>
        <w:tc>
          <w:tcPr>
            <w:tcW w:w="851"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3 023</w:t>
            </w:r>
          </w:p>
        </w:tc>
        <w:tc>
          <w:tcPr>
            <w:tcW w:w="86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3 100</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3 200</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5 950 </w:t>
            </w:r>
          </w:p>
        </w:tc>
      </w:tr>
      <w:tr w:rsidR="00407610" w:rsidRPr="007A42AD">
        <w:trPr>
          <w:trHeight w:val="600"/>
        </w:trPr>
        <w:tc>
          <w:tcPr>
            <w:tcW w:w="4975"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rPr>
            </w:pPr>
            <w:r w:rsidRPr="007A42AD">
              <w:rPr>
                <w:rFonts w:ascii="Times New Roman CYR" w:hAnsi="Times New Roman CYR" w:cs="Times New Roman CYR"/>
                <w:color w:val="000000"/>
              </w:rPr>
              <w:t xml:space="preserve">3. Выбыло жилых помещений за отчетный период, </w:t>
            </w:r>
            <w:proofErr w:type="spellStart"/>
            <w:r w:rsidRPr="007A42AD">
              <w:rPr>
                <w:rFonts w:ascii="Times New Roman CYR" w:hAnsi="Times New Roman CYR" w:cs="Times New Roman CYR"/>
                <w:color w:val="000000"/>
              </w:rPr>
              <w:t>кв</w:t>
            </w:r>
            <w:proofErr w:type="gramStart"/>
            <w:r w:rsidRPr="007A42AD">
              <w:rPr>
                <w:rFonts w:ascii="Times New Roman CYR" w:hAnsi="Times New Roman CYR" w:cs="Times New Roman CYR"/>
                <w:color w:val="000000"/>
              </w:rPr>
              <w:t>.м</w:t>
            </w:r>
            <w:proofErr w:type="spellEnd"/>
            <w:proofErr w:type="gramEnd"/>
          </w:p>
        </w:tc>
        <w:tc>
          <w:tcPr>
            <w:tcW w:w="85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0,0</w:t>
            </w:r>
          </w:p>
        </w:tc>
        <w:tc>
          <w:tcPr>
            <w:tcW w:w="851"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0,0</w:t>
            </w:r>
          </w:p>
        </w:tc>
        <w:tc>
          <w:tcPr>
            <w:tcW w:w="86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0,0 </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0,0</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0,0</w:t>
            </w:r>
          </w:p>
        </w:tc>
      </w:tr>
      <w:tr w:rsidR="00407610" w:rsidRPr="007A42AD">
        <w:trPr>
          <w:trHeight w:val="900"/>
        </w:trPr>
        <w:tc>
          <w:tcPr>
            <w:tcW w:w="4975"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rPr>
            </w:pPr>
            <w:r w:rsidRPr="007A42AD">
              <w:rPr>
                <w:rFonts w:ascii="Times New Roman CYR" w:hAnsi="Times New Roman CYR" w:cs="Times New Roman CYR"/>
                <w:color w:val="000000"/>
              </w:rPr>
              <w:t>4.</w:t>
            </w:r>
            <w:r w:rsidRPr="007A42AD">
              <w:rPr>
                <w:rFonts w:ascii="Times New Roman CYR" w:hAnsi="Times New Roman CYR" w:cs="Times New Roman CYR"/>
                <w:color w:val="C00000"/>
              </w:rPr>
              <w:t xml:space="preserve"> </w:t>
            </w:r>
            <w:r w:rsidRPr="007A42AD">
              <w:rPr>
                <w:rFonts w:ascii="Times New Roman CYR" w:hAnsi="Times New Roman CYR" w:cs="Times New Roman CYR"/>
                <w:color w:val="000000"/>
              </w:rPr>
              <w:t>Численность постоянного населения муниципального, городского округа (муниципального района</w:t>
            </w:r>
            <w:r w:rsidRPr="007A42AD">
              <w:rPr>
                <w:rFonts w:ascii="Times New Roman CYR" w:hAnsi="Times New Roman CYR" w:cs="Times New Roman CYR"/>
              </w:rPr>
              <w:t xml:space="preserve">) </w:t>
            </w:r>
            <w:r w:rsidRPr="007A42AD">
              <w:rPr>
                <w:rFonts w:ascii="Times New Roman CYR" w:hAnsi="Times New Roman CYR" w:cs="Times New Roman CYR"/>
                <w:b/>
                <w:bCs/>
              </w:rPr>
              <w:t>на</w:t>
            </w:r>
            <w:r w:rsidRPr="007A42AD">
              <w:rPr>
                <w:rFonts w:ascii="Times New Roman CYR" w:hAnsi="Times New Roman CYR" w:cs="Times New Roman CYR"/>
              </w:rPr>
              <w:t xml:space="preserve"> </w:t>
            </w:r>
            <w:r w:rsidRPr="007A42AD">
              <w:rPr>
                <w:rFonts w:ascii="Times New Roman CYR" w:hAnsi="Times New Roman CYR" w:cs="Times New Roman CYR"/>
                <w:b/>
                <w:bCs/>
              </w:rPr>
              <w:t>конец отчетного года</w:t>
            </w:r>
            <w:r w:rsidRPr="007A42AD">
              <w:rPr>
                <w:rFonts w:ascii="Times New Roman CYR" w:hAnsi="Times New Roman CYR" w:cs="Times New Roman CYR"/>
              </w:rPr>
              <w:t>, чел.</w:t>
            </w:r>
          </w:p>
        </w:tc>
        <w:tc>
          <w:tcPr>
            <w:tcW w:w="85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17843 </w:t>
            </w:r>
          </w:p>
        </w:tc>
        <w:tc>
          <w:tcPr>
            <w:tcW w:w="851"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17868</w:t>
            </w:r>
          </w:p>
        </w:tc>
        <w:tc>
          <w:tcPr>
            <w:tcW w:w="86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17902 </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17940</w:t>
            </w:r>
          </w:p>
        </w:tc>
        <w:tc>
          <w:tcPr>
            <w:tcW w:w="103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17986</w:t>
            </w:r>
          </w:p>
        </w:tc>
      </w:tr>
      <w:tr w:rsidR="00407610" w:rsidRPr="007A42AD">
        <w:trPr>
          <w:trHeight w:val="855"/>
        </w:trPr>
        <w:tc>
          <w:tcPr>
            <w:tcW w:w="4975"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rPr>
            </w:pPr>
            <w:r w:rsidRPr="007A42AD">
              <w:rPr>
                <w:rFonts w:ascii="Times New Roman CYR" w:hAnsi="Times New Roman CYR" w:cs="Times New Roman CYR"/>
                <w:b/>
                <w:bCs/>
                <w:color w:val="000000"/>
              </w:rPr>
              <w:t>5. Общая площадь жилых помещений, приходящаяся в среднем на одного жителя (стр. 1/ стр.4)</w:t>
            </w:r>
          </w:p>
        </w:tc>
        <w:tc>
          <w:tcPr>
            <w:tcW w:w="85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rPr>
            </w:pPr>
            <w:r w:rsidRPr="007A42AD">
              <w:rPr>
                <w:rFonts w:ascii="Times New Roman CYR" w:hAnsi="Times New Roman CYR" w:cs="Times New Roman CYR"/>
                <w:b/>
                <w:bCs/>
              </w:rPr>
              <w:t>30,68</w:t>
            </w:r>
          </w:p>
        </w:tc>
        <w:tc>
          <w:tcPr>
            <w:tcW w:w="851"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rPr>
            </w:pPr>
            <w:r w:rsidRPr="007A42AD">
              <w:rPr>
                <w:rFonts w:ascii="Times New Roman CYR" w:hAnsi="Times New Roman CYR" w:cs="Times New Roman CYR"/>
                <w:b/>
                <w:bCs/>
              </w:rPr>
              <w:t>30,</w:t>
            </w:r>
            <w:r w:rsidRPr="007A42AD">
              <w:rPr>
                <w:rFonts w:ascii="Times New Roman" w:hAnsi="Times New Roman"/>
                <w:b/>
                <w:bCs/>
                <w:lang w:val="en-US"/>
              </w:rPr>
              <w:t>98</w:t>
            </w:r>
          </w:p>
        </w:tc>
        <w:tc>
          <w:tcPr>
            <w:tcW w:w="86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rPr>
            </w:pPr>
            <w:r w:rsidRPr="007A42AD">
              <w:rPr>
                <w:rFonts w:ascii="Times New Roman CYR" w:hAnsi="Times New Roman CYR" w:cs="Times New Roman CYR"/>
                <w:b/>
                <w:bCs/>
              </w:rPr>
              <w:t>30,92</w:t>
            </w:r>
          </w:p>
        </w:tc>
        <w:tc>
          <w:tcPr>
            <w:tcW w:w="1033"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rPr>
            </w:pPr>
            <w:r w:rsidRPr="007A42AD">
              <w:rPr>
                <w:rFonts w:ascii="Times New Roman CYR" w:hAnsi="Times New Roman CYR" w:cs="Times New Roman CYR"/>
                <w:b/>
                <w:bCs/>
              </w:rPr>
              <w:t>31,04</w:t>
            </w:r>
          </w:p>
        </w:tc>
        <w:tc>
          <w:tcPr>
            <w:tcW w:w="1033"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rPr>
            </w:pPr>
            <w:r w:rsidRPr="007A42AD">
              <w:rPr>
                <w:rFonts w:ascii="Times New Roman CYR" w:hAnsi="Times New Roman CYR" w:cs="Times New Roman CYR"/>
                <w:b/>
                <w:bCs/>
              </w:rPr>
              <w:t>31,29</w:t>
            </w:r>
          </w:p>
        </w:tc>
      </w:tr>
    </w:tbl>
    <w:p w:rsidR="00407610" w:rsidRDefault="00407610">
      <w:pPr>
        <w:autoSpaceDE w:val="0"/>
        <w:autoSpaceDN w:val="0"/>
        <w:adjustRightInd w:val="0"/>
        <w:spacing w:after="0" w:line="240" w:lineRule="auto"/>
        <w:ind w:firstLine="708"/>
        <w:jc w:val="both"/>
        <w:rPr>
          <w:rFonts w:ascii="Times New Roman CYR" w:hAnsi="Times New Roman CYR" w:cs="Times New Roman CYR"/>
          <w:b/>
          <w:bCs/>
          <w:sz w:val="26"/>
          <w:szCs w:val="26"/>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 xml:space="preserve">24.1. в том числе </w:t>
      </w:r>
      <w:proofErr w:type="gramStart"/>
      <w:r w:rsidRPr="006B5DE2">
        <w:rPr>
          <w:rFonts w:ascii="Times New Roman CYR" w:hAnsi="Times New Roman CYR" w:cs="Times New Roman CYR"/>
          <w:b/>
          <w:bCs/>
          <w:color w:val="000000"/>
          <w:sz w:val="24"/>
          <w:szCs w:val="24"/>
        </w:rPr>
        <w:t>введенная</w:t>
      </w:r>
      <w:proofErr w:type="gramEnd"/>
      <w:r w:rsidRPr="006B5DE2">
        <w:rPr>
          <w:rFonts w:ascii="Times New Roman CYR" w:hAnsi="Times New Roman CYR" w:cs="Times New Roman CYR"/>
          <w:b/>
          <w:bCs/>
          <w:color w:val="000000"/>
          <w:sz w:val="24"/>
          <w:szCs w:val="24"/>
        </w:rPr>
        <w:t xml:space="preserve"> в действие за один год</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В 2024 году на территории города Енисейска введено в эксплуатацию 3 023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 жилой площади за счет строительства населением города 25 индивидуальных жилых домов, показатель – «</w:t>
      </w:r>
      <w:r>
        <w:rPr>
          <w:rFonts w:ascii="Times New Roman CYR" w:hAnsi="Times New Roman CYR" w:cs="Times New Roman CYR"/>
          <w:b/>
          <w:bCs/>
          <w:sz w:val="26"/>
          <w:szCs w:val="26"/>
        </w:rPr>
        <w:t>общая площадь жилых помещений, приходящаяся в среднем на одного жителя города введенная в действие за год»</w:t>
      </w:r>
      <w:r>
        <w:rPr>
          <w:rFonts w:ascii="Times New Roman CYR" w:hAnsi="Times New Roman CYR" w:cs="Times New Roman CYR"/>
          <w:sz w:val="26"/>
          <w:szCs w:val="26"/>
        </w:rPr>
        <w:t xml:space="preserve"> составил: </w:t>
      </w:r>
      <w:r>
        <w:rPr>
          <w:rFonts w:ascii="Times New Roman CYR" w:hAnsi="Times New Roman CYR" w:cs="Times New Roman CYR"/>
          <w:b/>
          <w:bCs/>
          <w:sz w:val="26"/>
          <w:szCs w:val="26"/>
        </w:rPr>
        <w:t xml:space="preserve">0,17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Динамика изменения показателя: </w:t>
      </w: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B050"/>
          <w:sz w:val="26"/>
          <w:szCs w:val="26"/>
        </w:rPr>
      </w:pPr>
      <w:r>
        <w:rPr>
          <w:rFonts w:ascii="Times New Roman CYR" w:hAnsi="Times New Roman CYR" w:cs="Times New Roman CYR"/>
          <w:sz w:val="26"/>
          <w:szCs w:val="26"/>
        </w:rPr>
        <w:t xml:space="preserve">По данным статистической отчетности справки № 1-Жилфонд: общая </w:t>
      </w:r>
      <w:proofErr w:type="gramStart"/>
      <w:r>
        <w:rPr>
          <w:rFonts w:ascii="Times New Roman CYR" w:hAnsi="Times New Roman CYR" w:cs="Times New Roman CYR"/>
          <w:sz w:val="26"/>
          <w:szCs w:val="26"/>
        </w:rPr>
        <w:t>площадь</w:t>
      </w:r>
      <w:proofErr w:type="gramEnd"/>
      <w:r>
        <w:rPr>
          <w:rFonts w:ascii="Times New Roman CYR" w:hAnsi="Times New Roman CYR" w:cs="Times New Roman CYR"/>
          <w:sz w:val="26"/>
          <w:szCs w:val="26"/>
        </w:rPr>
        <w:t xml:space="preserve"> введенная за 2023 год – 4 340 кв. м., показатель: общая площадь жилых помещений, приходящаяся в среднем на одного жителя, введенная в действие за год составляет - 0,24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 (достигнут за счет строительства индивидуальных домов).</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b/>
          <w:bCs/>
          <w:sz w:val="26"/>
          <w:szCs w:val="26"/>
        </w:rPr>
        <w:t>Прогноз ввода</w:t>
      </w:r>
      <w:r>
        <w:rPr>
          <w:rFonts w:ascii="Times New Roman CYR" w:hAnsi="Times New Roman CYR" w:cs="Times New Roman CYR"/>
          <w:sz w:val="26"/>
          <w:szCs w:val="26"/>
        </w:rPr>
        <w:t xml:space="preserve"> в эксплуатацию общей площади жилых помещений:</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 xml:space="preserve">- в 2025 году – за счет планируемого строительства и ввода в эксплуатацию населением города индивидуальных жилых домов, общей площадью 3100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 xml:space="preserve">., показатель – 0,17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 в 2026 году – за счет планируемого строительства и ввода в эксплуатацию населением города индивидуальных жилых домов 3200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 xml:space="preserve">., показатель -0,18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 в 2027 году – за счет планируемого строительства и ввода в эксплуатацию населением города индивидуальных жилых домов и возможного строительства 60-квартирного дома (общая площадь -5950 </w:t>
      </w:r>
      <w:proofErr w:type="spellStart"/>
      <w:r>
        <w:rPr>
          <w:rFonts w:ascii="Times New Roman CYR" w:hAnsi="Times New Roman CYR" w:cs="Times New Roman CYR"/>
          <w:sz w:val="26"/>
          <w:szCs w:val="26"/>
        </w:rPr>
        <w:t>кв</w:t>
      </w:r>
      <w:proofErr w:type="gramStart"/>
      <w:r>
        <w:rPr>
          <w:rFonts w:ascii="Times New Roman CYR" w:hAnsi="Times New Roman CYR" w:cs="Times New Roman CYR"/>
          <w:sz w:val="26"/>
          <w:szCs w:val="26"/>
        </w:rPr>
        <w:t>.м</w:t>
      </w:r>
      <w:proofErr w:type="spellEnd"/>
      <w:proofErr w:type="gramEnd"/>
      <w:r>
        <w:rPr>
          <w:rFonts w:ascii="Times New Roman CYR" w:hAnsi="Times New Roman CYR" w:cs="Times New Roman CYR"/>
          <w:sz w:val="26"/>
          <w:szCs w:val="26"/>
        </w:rPr>
        <w:t xml:space="preserve">), показатель – 0,33 </w:t>
      </w:r>
      <w:proofErr w:type="spellStart"/>
      <w:r>
        <w:rPr>
          <w:rFonts w:ascii="Times New Roman CYR" w:hAnsi="Times New Roman CYR" w:cs="Times New Roman CYR"/>
          <w:sz w:val="26"/>
          <w:szCs w:val="26"/>
        </w:rPr>
        <w:t>кв.м</w:t>
      </w:r>
      <w:proofErr w:type="spellEnd"/>
      <w:r>
        <w:rPr>
          <w:rFonts w:ascii="Times New Roman CYR" w:hAnsi="Times New Roman CYR" w:cs="Times New Roman CYR"/>
          <w:sz w:val="26"/>
          <w:szCs w:val="26"/>
        </w:rPr>
        <w:t>.</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Город Енисейск планирует дальнейшее участие в программе «Переселение граждан из аварийного жилищного фонда в Красноярском крае» (при формировании программы на следующий этап, начиная с 2026 г., со строительством жилья для переселения граждан из  аварийного жилищного фонда города, признанного после 01.01.2017 года). </w:t>
      </w:r>
    </w:p>
    <w:p w:rsidR="00407610" w:rsidRDefault="00407610">
      <w:pPr>
        <w:autoSpaceDE w:val="0"/>
        <w:autoSpaceDN w:val="0"/>
        <w:adjustRightInd w:val="0"/>
        <w:spacing w:after="0" w:line="240" w:lineRule="auto"/>
        <w:ind w:firstLine="708"/>
        <w:jc w:val="center"/>
        <w:rPr>
          <w:rFonts w:ascii="Times New Roman CYR" w:hAnsi="Times New Roman CYR" w:cs="Times New Roman CYR"/>
          <w:color w:val="000000"/>
          <w:sz w:val="24"/>
          <w:szCs w:val="24"/>
        </w:rPr>
      </w:pPr>
    </w:p>
    <w:tbl>
      <w:tblPr>
        <w:tblW w:w="0" w:type="auto"/>
        <w:tblInd w:w="93" w:type="dxa"/>
        <w:tblLayout w:type="fixed"/>
        <w:tblLook w:val="0000" w:firstRow="0" w:lastRow="0" w:firstColumn="0" w:lastColumn="0" w:noHBand="0" w:noVBand="0"/>
      </w:tblPr>
      <w:tblGrid>
        <w:gridCol w:w="3417"/>
        <w:gridCol w:w="1090"/>
        <w:gridCol w:w="1090"/>
        <w:gridCol w:w="1090"/>
        <w:gridCol w:w="1090"/>
        <w:gridCol w:w="1090"/>
      </w:tblGrid>
      <w:tr w:rsidR="00407610" w:rsidRPr="007A42AD">
        <w:trPr>
          <w:trHeight w:val="518"/>
        </w:trPr>
        <w:tc>
          <w:tcPr>
            <w:tcW w:w="3417" w:type="dxa"/>
            <w:vMerge w:val="restart"/>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Наименование показателя и единицы измерения</w:t>
            </w:r>
          </w:p>
          <w:p w:rsidR="00407610" w:rsidRPr="007A42AD" w:rsidRDefault="00407610">
            <w:pPr>
              <w:autoSpaceDE w:val="0"/>
              <w:autoSpaceDN w:val="0"/>
              <w:adjustRightInd w:val="0"/>
              <w:spacing w:after="0"/>
              <w:rPr>
                <w:rFonts w:ascii="Times New Roman CYR" w:hAnsi="Times New Roman CYR" w:cs="Times New Roman CYR"/>
              </w:rPr>
            </w:pPr>
          </w:p>
        </w:tc>
        <w:tc>
          <w:tcPr>
            <w:tcW w:w="5450" w:type="dxa"/>
            <w:gridSpan w:val="5"/>
            <w:tcBorders>
              <w:top w:val="single" w:sz="4" w:space="0" w:color="auto"/>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ind w:left="-926" w:firstLine="926"/>
              <w:jc w:val="center"/>
              <w:rPr>
                <w:rFonts w:ascii="Times New Roman CYR" w:hAnsi="Times New Roman CYR" w:cs="Times New Roman CYR"/>
                <w:color w:val="000000"/>
              </w:rPr>
            </w:pPr>
            <w:r w:rsidRPr="007A42AD">
              <w:rPr>
                <w:rFonts w:ascii="Times New Roman CYR" w:hAnsi="Times New Roman CYR" w:cs="Times New Roman CYR"/>
                <w:color w:val="000000"/>
              </w:rPr>
              <w:t>Значения показателя</w:t>
            </w:r>
          </w:p>
        </w:tc>
      </w:tr>
      <w:tr w:rsidR="00407610" w:rsidRPr="007A42AD">
        <w:trPr>
          <w:trHeight w:val="591"/>
        </w:trPr>
        <w:tc>
          <w:tcPr>
            <w:tcW w:w="3417" w:type="dxa"/>
            <w:vMerge/>
            <w:tcBorders>
              <w:top w:val="single" w:sz="4" w:space="0" w:color="auto"/>
              <w:left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rPr>
            </w:pP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2023 факт</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2024 факт</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2025 оценка</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2026 прогноз</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2027 прогноз</w:t>
            </w:r>
          </w:p>
        </w:tc>
      </w:tr>
      <w:tr w:rsidR="00407610" w:rsidRPr="007A42AD">
        <w:trPr>
          <w:trHeight w:val="421"/>
        </w:trPr>
        <w:tc>
          <w:tcPr>
            <w:tcW w:w="3417"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rPr>
            </w:pPr>
            <w:r w:rsidRPr="007A42AD">
              <w:rPr>
                <w:rFonts w:ascii="Times New Roman CYR" w:hAnsi="Times New Roman CYR" w:cs="Times New Roman CYR"/>
                <w:color w:val="000000"/>
              </w:rPr>
              <w:t xml:space="preserve">1. Введено всего, </w:t>
            </w:r>
            <w:proofErr w:type="spellStart"/>
            <w:r w:rsidRPr="007A42AD">
              <w:rPr>
                <w:rFonts w:ascii="Times New Roman CYR" w:hAnsi="Times New Roman CYR" w:cs="Times New Roman CYR"/>
                <w:color w:val="000000"/>
              </w:rPr>
              <w:t>кв</w:t>
            </w:r>
            <w:proofErr w:type="gramStart"/>
            <w:r w:rsidRPr="007A42AD">
              <w:rPr>
                <w:rFonts w:ascii="Times New Roman CYR" w:hAnsi="Times New Roman CYR" w:cs="Times New Roman CYR"/>
                <w:color w:val="000000"/>
              </w:rPr>
              <w:t>.м</w:t>
            </w:r>
            <w:proofErr w:type="spellEnd"/>
            <w:proofErr w:type="gramEnd"/>
            <w:r w:rsidRPr="007A42AD">
              <w:rPr>
                <w:rFonts w:ascii="Times New Roman CYR" w:hAnsi="Times New Roman CYR" w:cs="Times New Roman CYR"/>
                <w:color w:val="000000"/>
              </w:rPr>
              <w:t>, в том числе</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4 340</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3 023</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3 100</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3 200</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5 950</w:t>
            </w:r>
          </w:p>
        </w:tc>
      </w:tr>
      <w:tr w:rsidR="00407610" w:rsidRPr="007A42AD">
        <w:trPr>
          <w:trHeight w:val="701"/>
        </w:trPr>
        <w:tc>
          <w:tcPr>
            <w:tcW w:w="3417"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ind w:firstLine="220"/>
              <w:rPr>
                <w:rFonts w:ascii="Times New Roman CYR" w:hAnsi="Times New Roman CYR" w:cs="Times New Roman CYR"/>
                <w:color w:val="000000"/>
              </w:rPr>
            </w:pPr>
            <w:r w:rsidRPr="007A42AD">
              <w:rPr>
                <w:rFonts w:ascii="Times New Roman CYR" w:hAnsi="Times New Roman CYR" w:cs="Times New Roman CYR"/>
                <w:color w:val="000000"/>
              </w:rPr>
              <w:t xml:space="preserve">1.1. индивидуальное жилищное строительство, </w:t>
            </w:r>
            <w:proofErr w:type="spellStart"/>
            <w:r w:rsidRPr="007A42AD">
              <w:rPr>
                <w:rFonts w:ascii="Times New Roman CYR" w:hAnsi="Times New Roman CYR" w:cs="Times New Roman CYR"/>
                <w:color w:val="000000"/>
              </w:rPr>
              <w:t>кв</w:t>
            </w:r>
            <w:proofErr w:type="gramStart"/>
            <w:r w:rsidRPr="007A42AD">
              <w:rPr>
                <w:rFonts w:ascii="Times New Roman CYR" w:hAnsi="Times New Roman CYR" w:cs="Times New Roman CYR"/>
                <w:color w:val="000000"/>
              </w:rPr>
              <w:t>.м</w:t>
            </w:r>
            <w:proofErr w:type="spellEnd"/>
            <w:proofErr w:type="gramEnd"/>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4 340</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3 023</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3 100</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3 200</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3 200</w:t>
            </w:r>
          </w:p>
        </w:tc>
      </w:tr>
      <w:tr w:rsidR="00407610" w:rsidRPr="007A42AD">
        <w:trPr>
          <w:trHeight w:val="418"/>
        </w:trPr>
        <w:tc>
          <w:tcPr>
            <w:tcW w:w="3417"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ind w:firstLine="220"/>
              <w:rPr>
                <w:rFonts w:ascii="Times New Roman CYR" w:hAnsi="Times New Roman CYR" w:cs="Times New Roman CYR"/>
                <w:color w:val="000000"/>
              </w:rPr>
            </w:pPr>
            <w:r w:rsidRPr="007A42AD">
              <w:rPr>
                <w:rFonts w:ascii="Times New Roman CYR" w:hAnsi="Times New Roman CYR" w:cs="Times New Roman CYR"/>
                <w:color w:val="000000"/>
              </w:rPr>
              <w:t xml:space="preserve">1.2. многоквартирное строительство, </w:t>
            </w:r>
            <w:proofErr w:type="spellStart"/>
            <w:r w:rsidRPr="007A42AD">
              <w:rPr>
                <w:rFonts w:ascii="Times New Roman CYR" w:hAnsi="Times New Roman CYR" w:cs="Times New Roman CYR"/>
                <w:color w:val="000000"/>
              </w:rPr>
              <w:t>кв</w:t>
            </w:r>
            <w:proofErr w:type="gramStart"/>
            <w:r w:rsidRPr="007A42AD">
              <w:rPr>
                <w:rFonts w:ascii="Times New Roman CYR" w:hAnsi="Times New Roman CYR" w:cs="Times New Roman CYR"/>
                <w:color w:val="000000"/>
              </w:rPr>
              <w:t>.м</w:t>
            </w:r>
            <w:proofErr w:type="spellEnd"/>
            <w:proofErr w:type="gramEnd"/>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2 750</w:t>
            </w:r>
          </w:p>
        </w:tc>
      </w:tr>
      <w:tr w:rsidR="00407610" w:rsidRPr="007A42AD">
        <w:trPr>
          <w:trHeight w:val="834"/>
        </w:trPr>
        <w:tc>
          <w:tcPr>
            <w:tcW w:w="3417"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rPr>
            </w:pPr>
            <w:r w:rsidRPr="007A42AD">
              <w:rPr>
                <w:rFonts w:ascii="Times New Roman CYR" w:hAnsi="Times New Roman CYR" w:cs="Times New Roman CYR"/>
                <w:color w:val="000000"/>
              </w:rPr>
              <w:t>2.</w:t>
            </w:r>
            <w:r w:rsidRPr="007A42AD">
              <w:rPr>
                <w:rFonts w:ascii="Times New Roman CYR" w:hAnsi="Times New Roman CYR" w:cs="Times New Roman CYR"/>
                <w:color w:val="C00000"/>
              </w:rPr>
              <w:t xml:space="preserve"> </w:t>
            </w:r>
            <w:r w:rsidRPr="007A42AD">
              <w:rPr>
                <w:rFonts w:ascii="Times New Roman CYR" w:hAnsi="Times New Roman CYR" w:cs="Times New Roman CYR"/>
                <w:b/>
                <w:bCs/>
                <w:color w:val="C00000"/>
              </w:rPr>
              <w:t>Среднегодовая</w:t>
            </w:r>
            <w:r w:rsidRPr="007A42AD">
              <w:rPr>
                <w:rFonts w:ascii="Times New Roman CYR" w:hAnsi="Times New Roman CYR" w:cs="Times New Roman CYR"/>
                <w:color w:val="000000"/>
              </w:rPr>
              <w:t xml:space="preserve"> численность постоянного населения муниципального, городского округа (муниципального района), чел.</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17 749</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17 855</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17 885</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17 921</w:t>
            </w:r>
          </w:p>
        </w:tc>
        <w:tc>
          <w:tcPr>
            <w:tcW w:w="109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17 963</w:t>
            </w:r>
          </w:p>
        </w:tc>
      </w:tr>
      <w:tr w:rsidR="00407610" w:rsidRPr="007A42AD">
        <w:trPr>
          <w:trHeight w:val="975"/>
        </w:trPr>
        <w:tc>
          <w:tcPr>
            <w:tcW w:w="3417"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rPr>
            </w:pPr>
            <w:r w:rsidRPr="007A42AD">
              <w:rPr>
                <w:rFonts w:ascii="Times New Roman CYR" w:hAnsi="Times New Roman CYR" w:cs="Times New Roman CYR"/>
                <w:b/>
                <w:bCs/>
                <w:color w:val="000000"/>
              </w:rPr>
              <w:t>3. Общая площадь жилых помещений, введенная в действие за один год, приходящаяся в среднем на одного жителя (стр. 1/ стр.2)</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ind w:left="-359" w:firstLine="359"/>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0,24</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0,17</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0,17</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0,18</w:t>
            </w:r>
          </w:p>
        </w:tc>
        <w:tc>
          <w:tcPr>
            <w:tcW w:w="109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0,33</w:t>
            </w:r>
          </w:p>
        </w:tc>
      </w:tr>
    </w:tbl>
    <w:p w:rsidR="00407610" w:rsidRDefault="00407610">
      <w:pPr>
        <w:autoSpaceDE w:val="0"/>
        <w:autoSpaceDN w:val="0"/>
        <w:adjustRightInd w:val="0"/>
        <w:spacing w:after="0" w:line="240" w:lineRule="auto"/>
        <w:ind w:firstLine="708"/>
        <w:jc w:val="both"/>
        <w:rPr>
          <w:rFonts w:ascii="Times New Roman CYR" w:hAnsi="Times New Roman CYR" w:cs="Times New Roman CYR"/>
          <w:color w:val="000000"/>
          <w:sz w:val="26"/>
          <w:szCs w:val="26"/>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С целью развития малоэтажного и индивидуального строительства администрацией города Енисейска выделяются земельные участки, в том числе многодетным семьям под индивидуальное жилищное строительство в северо-восточной  части г. Енисейска (микрорайон «Северо-Восточный»). Для последующего предоставления земельных участков под индивидуальное жилищное строительство  и многоквартирное строительство разработаны проекты планировок и межевания территорий микрорайона «Южный-2», «Восточный-1», «Юго-Восточный», "Полюс" в г. Енисейске. Микрорайон «Восточный-1» предназначен </w:t>
      </w:r>
      <w:r>
        <w:rPr>
          <w:rFonts w:ascii="Times New Roman CYR" w:hAnsi="Times New Roman CYR" w:cs="Times New Roman CYR"/>
          <w:sz w:val="26"/>
          <w:szCs w:val="26"/>
        </w:rPr>
        <w:t>под жилую многоэтажную застройку, преимущественно для строительства многоквартирных домов 3-</w:t>
      </w:r>
      <w:r>
        <w:rPr>
          <w:rFonts w:ascii="Times New Roman CYR" w:hAnsi="Times New Roman CYR" w:cs="Times New Roman CYR"/>
          <w:color w:val="000000"/>
          <w:sz w:val="26"/>
          <w:szCs w:val="26"/>
        </w:rPr>
        <w:t>5-ти этажей. В 2024 году разработан проект планировки и межевания микрорайона «Полюс», на территории которого также возможно строительство многоквартирных домов.</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proofErr w:type="gramStart"/>
      <w:r>
        <w:rPr>
          <w:rFonts w:ascii="Times New Roman CYR" w:hAnsi="Times New Roman CYR" w:cs="Times New Roman CYR"/>
          <w:color w:val="000000"/>
          <w:sz w:val="26"/>
          <w:szCs w:val="26"/>
        </w:rPr>
        <w:lastRenderedPageBreak/>
        <w:t>На территории города Енисейска сформирован и зарезервирован ряд земельных участков планируемых для строительства многоквартирных домов для участия в разного рода программах (преимущественно по переселению граждан из аварийного жилищного фонда и других):  по ул. Декабристов, ул. Куйбышева, по ул. Ленина, 160 А., ул. Восточная, 1.</w:t>
      </w:r>
      <w:proofErr w:type="gramEnd"/>
      <w:r>
        <w:rPr>
          <w:rFonts w:ascii="Times New Roman CYR" w:hAnsi="Times New Roman CYR" w:cs="Times New Roman CYR"/>
          <w:color w:val="000000"/>
          <w:sz w:val="26"/>
          <w:szCs w:val="26"/>
        </w:rPr>
        <w:t xml:space="preserve"> </w:t>
      </w:r>
      <w:r>
        <w:rPr>
          <w:rFonts w:ascii="Times New Roman CYR" w:hAnsi="Times New Roman CYR" w:cs="Times New Roman CYR"/>
          <w:sz w:val="26"/>
          <w:szCs w:val="26"/>
        </w:rPr>
        <w:t>Строительство многоквартирных жилых домов за счет бюджетных средств также возможно на земельных участках, на месте снесенных аварийных домов: по ул. Рабоче-Крестьянская, 134, ул. Скорнякова, 14, ул. Молокова, 26.</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6"/>
          <w:szCs w:val="26"/>
        </w:rPr>
      </w:pPr>
      <w:r>
        <w:rPr>
          <w:rFonts w:ascii="Times New Roman CYR" w:hAnsi="Times New Roman CYR" w:cs="Times New Roman CYR"/>
          <w:sz w:val="26"/>
          <w:szCs w:val="26"/>
        </w:rPr>
        <w:t xml:space="preserve">Данный показатель в 2024 и в 2025 годах </w:t>
      </w:r>
      <w:proofErr w:type="gramStart"/>
      <w:r>
        <w:rPr>
          <w:rFonts w:ascii="Times New Roman CYR" w:hAnsi="Times New Roman CYR" w:cs="Times New Roman CYR"/>
          <w:sz w:val="26"/>
          <w:szCs w:val="26"/>
        </w:rPr>
        <w:t>достигнут</w:t>
      </w:r>
      <w:proofErr w:type="gramEnd"/>
      <w:r>
        <w:rPr>
          <w:rFonts w:ascii="Times New Roman CYR" w:hAnsi="Times New Roman CYR" w:cs="Times New Roman CYR"/>
          <w:sz w:val="26"/>
          <w:szCs w:val="26"/>
        </w:rPr>
        <w:t xml:space="preserve"> и планируется достигнуть за счет строительства населением индивидуальных жилых домов.</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25.Площадь земельных участков, предоставленных для строительства, в расчете на 10 тыс. человек населения, 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Площадь земельных участков, предоставленных для строительства в расчете на 10 тыс. человек населения, рассчитана по данным предоставления земельных участков в 2024 г. и планируемом предоставлении участков в 2025-2026 годах: </w:t>
      </w:r>
    </w:p>
    <w:p w:rsidR="00407610" w:rsidRDefault="00407610">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4"/>
        <w:gridCol w:w="1559"/>
        <w:gridCol w:w="1418"/>
        <w:gridCol w:w="1133"/>
        <w:gridCol w:w="1134"/>
        <w:gridCol w:w="1703"/>
      </w:tblGrid>
      <w:tr w:rsidR="00407610" w:rsidRPr="007A42AD">
        <w:tc>
          <w:tcPr>
            <w:tcW w:w="10031" w:type="dxa"/>
            <w:gridSpan w:val="6"/>
            <w:tcBorders>
              <w:top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sz w:val="20"/>
                <w:szCs w:val="20"/>
              </w:rPr>
              <w:t>Площадь предоставленных земельных участков (</w:t>
            </w:r>
            <w:proofErr w:type="gramStart"/>
            <w:r w:rsidRPr="007A42AD">
              <w:rPr>
                <w:rFonts w:ascii="Times New Roman CYR" w:hAnsi="Times New Roman CYR" w:cs="Times New Roman CYR"/>
                <w:sz w:val="20"/>
                <w:szCs w:val="20"/>
              </w:rPr>
              <w:t>Га</w:t>
            </w:r>
            <w:proofErr w:type="gramEnd"/>
            <w:r w:rsidRPr="007A42AD">
              <w:rPr>
                <w:rFonts w:ascii="Times New Roman CYR" w:hAnsi="Times New Roman CYR" w:cs="Times New Roman CYR"/>
                <w:sz w:val="20"/>
                <w:szCs w:val="20"/>
              </w:rPr>
              <w:t>)</w:t>
            </w:r>
          </w:p>
        </w:tc>
      </w:tr>
      <w:tr w:rsidR="00407610" w:rsidRPr="007A42AD">
        <w:tc>
          <w:tcPr>
            <w:tcW w:w="3084" w:type="dxa"/>
            <w:vMerge w:val="restart"/>
            <w:tcBorders>
              <w:top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предыдущий период</w:t>
            </w:r>
          </w:p>
        </w:tc>
        <w:tc>
          <w:tcPr>
            <w:tcW w:w="1418"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отчетный период</w:t>
            </w:r>
          </w:p>
        </w:tc>
        <w:tc>
          <w:tcPr>
            <w:tcW w:w="3970" w:type="dxa"/>
            <w:gridSpan w:val="3"/>
            <w:tcBorders>
              <w:top w:val="single" w:sz="4" w:space="0" w:color="auto"/>
              <w:left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прогноз</w:t>
            </w:r>
          </w:p>
        </w:tc>
      </w:tr>
      <w:tr w:rsidR="00407610" w:rsidRPr="007A42AD">
        <w:tc>
          <w:tcPr>
            <w:tcW w:w="3084" w:type="dxa"/>
            <w:vMerge/>
            <w:tcBorders>
              <w:top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2023</w:t>
            </w:r>
          </w:p>
        </w:tc>
        <w:tc>
          <w:tcPr>
            <w:tcW w:w="1418"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2024</w:t>
            </w:r>
          </w:p>
        </w:tc>
        <w:tc>
          <w:tcPr>
            <w:tcW w:w="1133"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2025</w:t>
            </w:r>
          </w:p>
        </w:tc>
        <w:tc>
          <w:tcPr>
            <w:tcW w:w="1134"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2026</w:t>
            </w:r>
          </w:p>
        </w:tc>
        <w:tc>
          <w:tcPr>
            <w:tcW w:w="1703" w:type="dxa"/>
            <w:tcBorders>
              <w:top w:val="single" w:sz="4" w:space="0" w:color="auto"/>
              <w:left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2027</w:t>
            </w:r>
          </w:p>
        </w:tc>
      </w:tr>
      <w:tr w:rsidR="00407610" w:rsidRPr="007A42AD">
        <w:tc>
          <w:tcPr>
            <w:tcW w:w="3084"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rPr>
                <w:rFonts w:ascii="Times New Roman CYR" w:hAnsi="Times New Roman CYR" w:cs="Times New Roman CYR"/>
                <w:sz w:val="20"/>
                <w:szCs w:val="20"/>
              </w:rPr>
            </w:pPr>
            <w:r w:rsidRPr="007A42AD">
              <w:rPr>
                <w:rFonts w:ascii="Times New Roman CYR" w:hAnsi="Times New Roman CYR" w:cs="Times New Roman CYR"/>
                <w:sz w:val="20"/>
                <w:szCs w:val="20"/>
              </w:rPr>
              <w:t>площадь земельных участков (</w:t>
            </w:r>
            <w:proofErr w:type="gramStart"/>
            <w:r w:rsidRPr="007A42AD">
              <w:rPr>
                <w:rFonts w:ascii="Times New Roman CYR" w:hAnsi="Times New Roman CYR" w:cs="Times New Roman CYR"/>
                <w:sz w:val="20"/>
                <w:szCs w:val="20"/>
              </w:rPr>
              <w:t>Га</w:t>
            </w:r>
            <w:proofErr w:type="gramEnd"/>
            <w:r w:rsidRPr="007A42AD">
              <w:rPr>
                <w:rFonts w:ascii="Times New Roman CYR" w:hAnsi="Times New Roman CYR" w:cs="Times New Roman CYR"/>
                <w:sz w:val="20"/>
                <w:szCs w:val="20"/>
              </w:rPr>
              <w:t>), предоставленных для строительства, всего:</w:t>
            </w:r>
          </w:p>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4,08</w:t>
            </w:r>
          </w:p>
        </w:tc>
        <w:tc>
          <w:tcPr>
            <w:tcW w:w="1418"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3,05</w:t>
            </w:r>
          </w:p>
        </w:tc>
        <w:tc>
          <w:tcPr>
            <w:tcW w:w="1133"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3,24</w:t>
            </w:r>
          </w:p>
        </w:tc>
        <w:tc>
          <w:tcPr>
            <w:tcW w:w="1134"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3,36</w:t>
            </w:r>
          </w:p>
        </w:tc>
        <w:tc>
          <w:tcPr>
            <w:tcW w:w="1703" w:type="dxa"/>
            <w:tcBorders>
              <w:top w:val="single" w:sz="4" w:space="0" w:color="auto"/>
              <w:left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3,48</w:t>
            </w:r>
          </w:p>
        </w:tc>
      </w:tr>
      <w:tr w:rsidR="00407610" w:rsidRPr="007A42AD">
        <w:tc>
          <w:tcPr>
            <w:tcW w:w="3084"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rPr>
                <w:rFonts w:ascii="Times New Roman CYR" w:hAnsi="Times New Roman CYR" w:cs="Times New Roman CYR"/>
                <w:sz w:val="20"/>
                <w:szCs w:val="20"/>
              </w:rPr>
            </w:pPr>
            <w:r w:rsidRPr="007A42AD">
              <w:rPr>
                <w:rFonts w:ascii="Times New Roman CYR" w:hAnsi="Times New Roman CYR" w:cs="Times New Roman CYR"/>
                <w:sz w:val="20"/>
                <w:szCs w:val="20"/>
              </w:rPr>
              <w:t xml:space="preserve">жилищного строительства (в </w:t>
            </w:r>
            <w:proofErr w:type="spellStart"/>
            <w:r w:rsidRPr="007A42AD">
              <w:rPr>
                <w:rFonts w:ascii="Times New Roman CYR" w:hAnsi="Times New Roman CYR" w:cs="Times New Roman CYR"/>
                <w:sz w:val="20"/>
                <w:szCs w:val="20"/>
              </w:rPr>
              <w:t>т.ч</w:t>
            </w:r>
            <w:proofErr w:type="spellEnd"/>
            <w:r w:rsidRPr="007A42AD">
              <w:rPr>
                <w:rFonts w:ascii="Times New Roman CYR" w:hAnsi="Times New Roman CYR" w:cs="Times New Roman CYR"/>
                <w:sz w:val="20"/>
                <w:szCs w:val="20"/>
              </w:rPr>
              <w:t>. для ИЖС)</w:t>
            </w:r>
          </w:p>
        </w:tc>
        <w:tc>
          <w:tcPr>
            <w:tcW w:w="1559"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1,18</w:t>
            </w:r>
          </w:p>
        </w:tc>
        <w:tc>
          <w:tcPr>
            <w:tcW w:w="1418"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2,22</w:t>
            </w:r>
          </w:p>
        </w:tc>
        <w:tc>
          <w:tcPr>
            <w:tcW w:w="1133"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2,24</w:t>
            </w:r>
          </w:p>
        </w:tc>
        <w:tc>
          <w:tcPr>
            <w:tcW w:w="1134"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2,26</w:t>
            </w:r>
          </w:p>
        </w:tc>
        <w:tc>
          <w:tcPr>
            <w:tcW w:w="1703" w:type="dxa"/>
            <w:tcBorders>
              <w:top w:val="single" w:sz="4" w:space="0" w:color="auto"/>
              <w:left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2,28</w:t>
            </w:r>
          </w:p>
        </w:tc>
      </w:tr>
      <w:tr w:rsidR="00407610" w:rsidRPr="007A42AD">
        <w:tc>
          <w:tcPr>
            <w:tcW w:w="3084"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sz w:val="20"/>
                <w:szCs w:val="20"/>
              </w:rPr>
              <w:t>комплексного освоения в целях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0,00</w:t>
            </w:r>
          </w:p>
        </w:tc>
        <w:tc>
          <w:tcPr>
            <w:tcW w:w="1133"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0,00</w:t>
            </w:r>
          </w:p>
        </w:tc>
        <w:tc>
          <w:tcPr>
            <w:tcW w:w="1703" w:type="dxa"/>
            <w:tcBorders>
              <w:top w:val="single" w:sz="4" w:space="0" w:color="auto"/>
              <w:left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0,00</w:t>
            </w:r>
          </w:p>
        </w:tc>
      </w:tr>
      <w:tr w:rsidR="00407610" w:rsidRPr="007A42AD">
        <w:tc>
          <w:tcPr>
            <w:tcW w:w="3084"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sz w:val="20"/>
                <w:szCs w:val="20"/>
              </w:rPr>
              <w:t>строительства объектов, не являющихся объектами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2,90</w:t>
            </w:r>
          </w:p>
        </w:tc>
        <w:tc>
          <w:tcPr>
            <w:tcW w:w="1418"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0,83</w:t>
            </w:r>
          </w:p>
        </w:tc>
        <w:tc>
          <w:tcPr>
            <w:tcW w:w="1133"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1,10</w:t>
            </w:r>
          </w:p>
        </w:tc>
        <w:tc>
          <w:tcPr>
            <w:tcW w:w="1703" w:type="dxa"/>
            <w:tcBorders>
              <w:top w:val="single" w:sz="4" w:space="0" w:color="auto"/>
              <w:left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1,20</w:t>
            </w:r>
          </w:p>
        </w:tc>
      </w:tr>
      <w:tr w:rsidR="00407610" w:rsidRPr="007A42AD">
        <w:tc>
          <w:tcPr>
            <w:tcW w:w="3084"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rPr>
                <w:rFonts w:ascii="Times New Roman CYR" w:hAnsi="Times New Roman CYR" w:cs="Times New Roman CYR"/>
                <w:sz w:val="20"/>
                <w:szCs w:val="20"/>
              </w:rPr>
            </w:pPr>
            <w:r w:rsidRPr="007A42AD">
              <w:rPr>
                <w:rFonts w:ascii="Times New Roman CYR" w:hAnsi="Times New Roman CYR" w:cs="Times New Roman CYR"/>
                <w:b/>
                <w:bCs/>
                <w:sz w:val="20"/>
                <w:szCs w:val="20"/>
              </w:rPr>
              <w:t>Среднегодовая</w:t>
            </w:r>
            <w:r w:rsidRPr="007A42AD">
              <w:rPr>
                <w:rFonts w:ascii="Times New Roman CYR" w:hAnsi="Times New Roman CYR" w:cs="Times New Roman CYR"/>
                <w:sz w:val="20"/>
                <w:szCs w:val="20"/>
              </w:rPr>
              <w:t xml:space="preserve"> численность постоянного населения городского округа, чел.</w:t>
            </w:r>
          </w:p>
        </w:tc>
        <w:tc>
          <w:tcPr>
            <w:tcW w:w="1559"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17 749</w:t>
            </w:r>
          </w:p>
        </w:tc>
        <w:tc>
          <w:tcPr>
            <w:tcW w:w="1418"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17 855</w:t>
            </w:r>
          </w:p>
        </w:tc>
        <w:tc>
          <w:tcPr>
            <w:tcW w:w="1133"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17 885</w:t>
            </w:r>
          </w:p>
        </w:tc>
        <w:tc>
          <w:tcPr>
            <w:tcW w:w="1134"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17 921</w:t>
            </w:r>
          </w:p>
        </w:tc>
        <w:tc>
          <w:tcPr>
            <w:tcW w:w="1703" w:type="dxa"/>
            <w:tcBorders>
              <w:top w:val="single" w:sz="4" w:space="0" w:color="auto"/>
              <w:left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17 963</w:t>
            </w:r>
          </w:p>
        </w:tc>
      </w:tr>
      <w:tr w:rsidR="00407610" w:rsidRPr="007A42AD">
        <w:tc>
          <w:tcPr>
            <w:tcW w:w="3084"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rPr>
                <w:rFonts w:ascii="Times New Roman CYR" w:hAnsi="Times New Roman CYR" w:cs="Times New Roman CYR"/>
                <w:sz w:val="20"/>
                <w:szCs w:val="20"/>
              </w:rPr>
            </w:pPr>
            <w:r w:rsidRPr="007A42AD">
              <w:rPr>
                <w:rFonts w:ascii="Times New Roman CYR" w:hAnsi="Times New Roman CYR" w:cs="Times New Roman CYR"/>
                <w:sz w:val="20"/>
                <w:szCs w:val="20"/>
              </w:rPr>
              <w:t>Площадь земельных участков, предоставленных для строительства, в расчете на 10 тыс. человек населения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2,30</w:t>
            </w:r>
          </w:p>
        </w:tc>
        <w:tc>
          <w:tcPr>
            <w:tcW w:w="1418"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1,71</w:t>
            </w:r>
          </w:p>
        </w:tc>
        <w:tc>
          <w:tcPr>
            <w:tcW w:w="1133"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1,81</w:t>
            </w:r>
          </w:p>
        </w:tc>
        <w:tc>
          <w:tcPr>
            <w:tcW w:w="1134"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1,87</w:t>
            </w:r>
          </w:p>
        </w:tc>
        <w:tc>
          <w:tcPr>
            <w:tcW w:w="1703" w:type="dxa"/>
            <w:tcBorders>
              <w:top w:val="single" w:sz="4" w:space="0" w:color="auto"/>
              <w:left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1,94</w:t>
            </w:r>
          </w:p>
        </w:tc>
      </w:tr>
      <w:tr w:rsidR="00407610" w:rsidRPr="007A42AD">
        <w:tc>
          <w:tcPr>
            <w:tcW w:w="3084"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rPr>
                <w:rFonts w:ascii="Times New Roman CYR" w:hAnsi="Times New Roman CYR" w:cs="Times New Roman CYR"/>
                <w:sz w:val="20"/>
                <w:szCs w:val="20"/>
              </w:rPr>
            </w:pPr>
            <w:r w:rsidRPr="007A42AD">
              <w:rPr>
                <w:rFonts w:ascii="Times New Roman CYR" w:hAnsi="Times New Roman CYR" w:cs="Times New Roman CYR"/>
                <w:sz w:val="20"/>
                <w:szCs w:val="20"/>
              </w:rPr>
              <w:t>Площадь земельных участков, предоставленных для жилищного и индивидуального строительства и комплексного освоения в целях жилищного строительства, в расчете на 10 тыс. человек населения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0,66</w:t>
            </w:r>
          </w:p>
        </w:tc>
        <w:tc>
          <w:tcPr>
            <w:tcW w:w="1418"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1,24</w:t>
            </w:r>
          </w:p>
        </w:tc>
        <w:tc>
          <w:tcPr>
            <w:tcW w:w="1133"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1,25</w:t>
            </w:r>
          </w:p>
        </w:tc>
        <w:tc>
          <w:tcPr>
            <w:tcW w:w="1134" w:type="dxa"/>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1,26</w:t>
            </w:r>
          </w:p>
        </w:tc>
        <w:tc>
          <w:tcPr>
            <w:tcW w:w="1703" w:type="dxa"/>
            <w:tcBorders>
              <w:top w:val="single" w:sz="4" w:space="0" w:color="auto"/>
              <w:left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1,27</w:t>
            </w:r>
          </w:p>
        </w:tc>
      </w:tr>
    </w:tbl>
    <w:p w:rsidR="00407610" w:rsidRDefault="00407610">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В 2024 г. показатель </w:t>
      </w:r>
      <w:r>
        <w:rPr>
          <w:rFonts w:ascii="Times New Roman CYR" w:hAnsi="Times New Roman CYR" w:cs="Times New Roman CYR"/>
          <w:b/>
          <w:bCs/>
          <w:sz w:val="24"/>
          <w:szCs w:val="24"/>
        </w:rPr>
        <w:t>(25</w:t>
      </w:r>
      <w:r>
        <w:rPr>
          <w:rFonts w:ascii="Times New Roman CYR" w:hAnsi="Times New Roman CYR" w:cs="Times New Roman CYR"/>
          <w:sz w:val="24"/>
          <w:szCs w:val="24"/>
        </w:rPr>
        <w:t>) не достигнут, т.к. снизилось строительство объектов, не являющихся объектами жилищного строительства.</w:t>
      </w:r>
    </w:p>
    <w:p w:rsidR="00407610" w:rsidRDefault="007A42AD">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Увеличение  показателя </w:t>
      </w:r>
      <w:r>
        <w:rPr>
          <w:rFonts w:ascii="Times New Roman CYR" w:hAnsi="Times New Roman CYR" w:cs="Times New Roman CYR"/>
          <w:b/>
          <w:bCs/>
          <w:sz w:val="24"/>
          <w:szCs w:val="24"/>
        </w:rPr>
        <w:t>(25.1</w:t>
      </w:r>
      <w:r>
        <w:rPr>
          <w:rFonts w:ascii="Times New Roman CYR" w:hAnsi="Times New Roman CYR" w:cs="Times New Roman CYR"/>
          <w:sz w:val="24"/>
          <w:szCs w:val="24"/>
        </w:rPr>
        <w:t>) в 2024 году по сравнению с 2023 произошло в связи с тем, что в 2024 году были предоставлены земельные участки под строительство индивидуальных жилых домов.</w:t>
      </w:r>
    </w:p>
    <w:p w:rsidR="00407610" w:rsidRDefault="007A42AD">
      <w:pPr>
        <w:autoSpaceDE w:val="0"/>
        <w:autoSpaceDN w:val="0"/>
        <w:adjustRightInd w:val="0"/>
        <w:spacing w:after="0" w:line="240" w:lineRule="auto"/>
        <w:ind w:firstLine="708"/>
        <w:jc w:val="both"/>
        <w:rPr>
          <w:rFonts w:cs="Calibri"/>
        </w:rPr>
      </w:pPr>
      <w:proofErr w:type="gramStart"/>
      <w:r>
        <w:rPr>
          <w:rFonts w:ascii="Times New Roman CYR" w:hAnsi="Times New Roman CYR" w:cs="Times New Roman CYR"/>
          <w:color w:val="000000"/>
          <w:sz w:val="24"/>
          <w:szCs w:val="24"/>
        </w:rPr>
        <w:t>На перспективу развития жилищного строительства в городе планируется  решение следующих задач: реконструкция и модернизация существующей застройки, повышение обеспеченности населения благоустроенным жильем, улучшение качества жилищного фонда, возможность строительства по индивидуальным проектам, выбор оптимального соотношения многоэтажного и малоэтажного строительства, строительство в рамках краевых программ, в том числе по программе переселения из ветхого и аварийного жилищного фонда города, снос аварийного жилья.</w:t>
      </w:r>
      <w:proofErr w:type="gramEnd"/>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 xml:space="preserve">26. Площадь земельных участков, предоставленных для строительства, в отношении которых </w:t>
      </w:r>
      <w:proofErr w:type="gramStart"/>
      <w:r w:rsidRPr="006B5DE2">
        <w:rPr>
          <w:rFonts w:ascii="Times New Roman CYR" w:hAnsi="Times New Roman CYR" w:cs="Times New Roman CYR"/>
          <w:b/>
          <w:bCs/>
          <w:color w:val="000000"/>
          <w:sz w:val="24"/>
          <w:szCs w:val="24"/>
        </w:rPr>
        <w:t>с даты принятия</w:t>
      </w:r>
      <w:proofErr w:type="gramEnd"/>
      <w:r w:rsidRPr="006B5DE2">
        <w:rPr>
          <w:rFonts w:ascii="Times New Roman CYR" w:hAnsi="Times New Roman CYR" w:cs="Times New Roman CYR"/>
          <w:b/>
          <w:bCs/>
          <w:color w:val="000000"/>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407610" w:rsidRPr="006B5DE2" w:rsidRDefault="00407610">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407610" w:rsidRPr="006B5DE2"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26.1. объектов жилищного строительства - в течение 3 лет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sz w:val="26"/>
          <w:szCs w:val="26"/>
        </w:rPr>
        <w:tab/>
        <w:t xml:space="preserve">Площадь земельных участков, предоставленных для </w:t>
      </w:r>
      <w:r>
        <w:rPr>
          <w:rFonts w:ascii="Times New Roman CYR" w:hAnsi="Times New Roman CYR" w:cs="Times New Roman CYR"/>
          <w:b/>
          <w:bCs/>
          <w:sz w:val="26"/>
          <w:szCs w:val="26"/>
        </w:rPr>
        <w:t>объектов жилищного строительства, в отношении</w:t>
      </w:r>
      <w:r>
        <w:rPr>
          <w:rFonts w:ascii="Times New Roman CYR" w:hAnsi="Times New Roman CYR" w:cs="Times New Roman CYR"/>
          <w:sz w:val="26"/>
          <w:szCs w:val="26"/>
        </w:rPr>
        <w:t xml:space="preserve"> которых </w:t>
      </w:r>
      <w:proofErr w:type="gramStart"/>
      <w:r>
        <w:rPr>
          <w:rFonts w:ascii="Times New Roman CYR" w:hAnsi="Times New Roman CYR" w:cs="Times New Roman CYR"/>
          <w:sz w:val="26"/>
          <w:szCs w:val="26"/>
        </w:rPr>
        <w:t>с даты принятия</w:t>
      </w:r>
      <w:proofErr w:type="gramEnd"/>
      <w:r>
        <w:rPr>
          <w:rFonts w:ascii="Times New Roman CYR" w:hAnsi="Times New Roman CYR" w:cs="Times New Roman CYR"/>
          <w:sz w:val="26"/>
          <w:szCs w:val="2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ascii="Times New Roman CYR" w:hAnsi="Times New Roman CYR" w:cs="Times New Roman CYR"/>
          <w:b/>
          <w:bCs/>
          <w:sz w:val="26"/>
          <w:szCs w:val="26"/>
        </w:rPr>
        <w:t>3 лет</w:t>
      </w:r>
      <w:r>
        <w:rPr>
          <w:rFonts w:ascii="Times New Roman CYR" w:hAnsi="Times New Roman CYR" w:cs="Times New Roman CYR"/>
          <w:sz w:val="26"/>
          <w:szCs w:val="26"/>
        </w:rPr>
        <w:t xml:space="preserve">, составляет: </w:t>
      </w:r>
      <w:r>
        <w:rPr>
          <w:rFonts w:ascii="Times New Roman CYR" w:hAnsi="Times New Roman CYR" w:cs="Times New Roman CYR"/>
          <w:b/>
          <w:bCs/>
          <w:sz w:val="26"/>
          <w:szCs w:val="26"/>
        </w:rPr>
        <w:t xml:space="preserve">0,0 </w:t>
      </w:r>
      <w:proofErr w:type="spellStart"/>
      <w:r>
        <w:rPr>
          <w:rFonts w:ascii="Times New Roman CYR" w:hAnsi="Times New Roman CYR" w:cs="Times New Roman CYR"/>
          <w:b/>
          <w:bCs/>
          <w:sz w:val="26"/>
          <w:szCs w:val="26"/>
        </w:rPr>
        <w:t>кв.м</w:t>
      </w:r>
      <w:proofErr w:type="spellEnd"/>
      <w:r>
        <w:rPr>
          <w:rFonts w:ascii="Times New Roman CYR" w:hAnsi="Times New Roman CYR" w:cs="Times New Roman CYR"/>
          <w:b/>
          <w:bCs/>
          <w:sz w:val="26"/>
          <w:szCs w:val="26"/>
        </w:rPr>
        <w:t>.</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26.2. иных объектов капитального строительства - в течение 5 лет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ab/>
        <w:t>По показателю 26.2 Расшифровка значений показателя с указанием объектов:</w:t>
      </w:r>
    </w:p>
    <w:p w:rsidR="00407610" w:rsidRDefault="00407610">
      <w:pPr>
        <w:autoSpaceDE w:val="0"/>
        <w:autoSpaceDN w:val="0"/>
        <w:adjustRightInd w:val="0"/>
        <w:spacing w:after="0" w:line="240" w:lineRule="auto"/>
        <w:jc w:val="both"/>
        <w:rPr>
          <w:rFonts w:ascii="Times New Roman CYR" w:hAnsi="Times New Roman CYR" w:cs="Times New Roman CYR"/>
          <w:color w:val="000000"/>
          <w:sz w:val="26"/>
          <w:szCs w:val="26"/>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
        <w:gridCol w:w="2477"/>
        <w:gridCol w:w="1134"/>
        <w:gridCol w:w="2552"/>
        <w:gridCol w:w="1275"/>
        <w:gridCol w:w="2410"/>
      </w:tblGrid>
      <w:tr w:rsidR="00407610" w:rsidRPr="007A42AD">
        <w:tc>
          <w:tcPr>
            <w:tcW w:w="10491" w:type="dxa"/>
            <w:gridSpan w:val="6"/>
            <w:tcBorders>
              <w:top w:val="single" w:sz="4" w:space="0" w:color="auto"/>
              <w:bottom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rPr>
            </w:pPr>
            <w:r w:rsidRPr="007A42AD">
              <w:rPr>
                <w:rFonts w:ascii="Times New Roman CYR" w:hAnsi="Times New Roman CYR" w:cs="Times New Roman CYR"/>
              </w:rPr>
              <w:t xml:space="preserve">26.2. Площадь земельных участков, предоставленных для </w:t>
            </w:r>
            <w:r w:rsidRPr="007A42AD">
              <w:rPr>
                <w:rFonts w:ascii="Times New Roman CYR" w:hAnsi="Times New Roman CYR" w:cs="Times New Roman CYR"/>
                <w:b/>
                <w:bCs/>
              </w:rPr>
              <w:t>иных объектов капитального строительства, в отношении</w:t>
            </w:r>
            <w:r w:rsidRPr="007A42AD">
              <w:rPr>
                <w:rFonts w:ascii="Times New Roman CYR" w:hAnsi="Times New Roman CYR" w:cs="Times New Roman CYR"/>
              </w:rPr>
              <w:t xml:space="preserve"> которых </w:t>
            </w:r>
            <w:proofErr w:type="gramStart"/>
            <w:r w:rsidRPr="007A42AD">
              <w:rPr>
                <w:rFonts w:ascii="Times New Roman CYR" w:hAnsi="Times New Roman CYR" w:cs="Times New Roman CYR"/>
              </w:rPr>
              <w:t>с даты принятия</w:t>
            </w:r>
            <w:proofErr w:type="gramEnd"/>
            <w:r w:rsidRPr="007A42AD">
              <w:rPr>
                <w:rFonts w:ascii="Times New Roman CYR" w:hAnsi="Times New Roman CYR" w:cs="Times New Roman CYR"/>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7A42AD">
              <w:rPr>
                <w:rFonts w:ascii="Times New Roman CYR" w:hAnsi="Times New Roman CYR" w:cs="Times New Roman CYR"/>
                <w:b/>
                <w:bCs/>
              </w:rPr>
              <w:t>5 лет</w:t>
            </w:r>
            <w:r w:rsidRPr="007A42AD">
              <w:rPr>
                <w:rFonts w:ascii="Times New Roman CYR" w:hAnsi="Times New Roman CYR" w:cs="Times New Roman CYR"/>
              </w:rPr>
              <w:t xml:space="preserve">, </w:t>
            </w:r>
            <w:proofErr w:type="spellStart"/>
            <w:r w:rsidRPr="007A42AD">
              <w:rPr>
                <w:rFonts w:ascii="Times New Roman CYR" w:hAnsi="Times New Roman CYR" w:cs="Times New Roman CYR"/>
              </w:rPr>
              <w:t>кв.м</w:t>
            </w:r>
            <w:proofErr w:type="spellEnd"/>
            <w:r w:rsidRPr="007A42AD">
              <w:rPr>
                <w:rFonts w:ascii="Times New Roman CYR" w:hAnsi="Times New Roman CYR" w:cs="Times New Roman CYR"/>
              </w:rPr>
              <w:t>.</w:t>
            </w:r>
          </w:p>
        </w:tc>
      </w:tr>
      <w:tr w:rsidR="00407610" w:rsidRPr="007A42AD">
        <w:tc>
          <w:tcPr>
            <w:tcW w:w="643"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xml:space="preserve">№ </w:t>
            </w:r>
            <w:proofErr w:type="gramStart"/>
            <w:r w:rsidRPr="007A42AD">
              <w:rPr>
                <w:rFonts w:ascii="Times New Roman CYR" w:hAnsi="Times New Roman CYR" w:cs="Times New Roman CYR"/>
              </w:rPr>
              <w:t>п</w:t>
            </w:r>
            <w:proofErr w:type="gramEnd"/>
            <w:r w:rsidRPr="007A42AD">
              <w:rPr>
                <w:rFonts w:ascii="Times New Roman CYR" w:hAnsi="Times New Roman CYR" w:cs="Times New Roman CYR"/>
              </w:rPr>
              <w:t>/п</w:t>
            </w:r>
          </w:p>
        </w:tc>
        <w:tc>
          <w:tcPr>
            <w:tcW w:w="2477"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Наименование и строительный адрес объекта</w:t>
            </w:r>
          </w:p>
        </w:tc>
        <w:tc>
          <w:tcPr>
            <w:tcW w:w="1134"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xml:space="preserve">Площадь земельных участков, </w:t>
            </w:r>
            <w:proofErr w:type="spellStart"/>
            <w:r w:rsidRPr="007A42AD">
              <w:rPr>
                <w:rFonts w:ascii="Times New Roman CYR" w:hAnsi="Times New Roman CYR" w:cs="Times New Roman CYR"/>
              </w:rPr>
              <w:t>кв.м</w:t>
            </w:r>
            <w:proofErr w:type="spellEnd"/>
            <w:r w:rsidRPr="007A42AD">
              <w:rPr>
                <w:rFonts w:ascii="Times New Roman CYR" w:hAnsi="Times New Roman CYR" w:cs="Times New Roman CYR"/>
              </w:rPr>
              <w:t>.</w:t>
            </w:r>
          </w:p>
        </w:tc>
        <w:tc>
          <w:tcPr>
            <w:tcW w:w="2552"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sz w:val="20"/>
                <w:szCs w:val="20"/>
              </w:rPr>
            </w:pPr>
            <w:r w:rsidRPr="007A42AD">
              <w:rPr>
                <w:rFonts w:ascii="Times New Roman CYR" w:hAnsi="Times New Roman CYR" w:cs="Times New Roman CYR"/>
                <w:sz w:val="20"/>
                <w:szCs w:val="20"/>
              </w:rPr>
              <w:t xml:space="preserve">Дата принятия решения о предоставлении земельного участка или подписания протокола о результатах торгов (конкурсов, аукционов) с указанием вида </w:t>
            </w:r>
            <w:proofErr w:type="spellStart"/>
            <w:r w:rsidRPr="007A42AD">
              <w:rPr>
                <w:rFonts w:ascii="Times New Roman CYR" w:hAnsi="Times New Roman CYR" w:cs="Times New Roman CYR"/>
                <w:sz w:val="20"/>
                <w:szCs w:val="20"/>
              </w:rPr>
              <w:t>использов</w:t>
            </w:r>
            <w:proofErr w:type="spellEnd"/>
            <w:r w:rsidRPr="007A42AD">
              <w:rPr>
                <w:rFonts w:ascii="Times New Roman CYR" w:hAnsi="Times New Roman CYR" w:cs="Times New Roman CYR"/>
                <w:sz w:val="20"/>
                <w:szCs w:val="20"/>
              </w:rPr>
              <w:t xml:space="preserve"> (собственность, аренда)</w:t>
            </w:r>
          </w:p>
        </w:tc>
        <w:tc>
          <w:tcPr>
            <w:tcW w:w="1275"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Дата выдачи разрешения на строительство</w:t>
            </w:r>
          </w:p>
        </w:tc>
        <w:tc>
          <w:tcPr>
            <w:tcW w:w="2410" w:type="dxa"/>
            <w:tcBorders>
              <w:top w:val="single" w:sz="4" w:space="0" w:color="auto"/>
              <w:left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Срок действия разрешения на строительство</w:t>
            </w:r>
          </w:p>
        </w:tc>
      </w:tr>
      <w:tr w:rsidR="00407610" w:rsidRPr="007A42AD">
        <w:trPr>
          <w:trHeight w:val="1290"/>
        </w:trPr>
        <w:tc>
          <w:tcPr>
            <w:tcW w:w="643"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1</w:t>
            </w:r>
          </w:p>
        </w:tc>
        <w:tc>
          <w:tcPr>
            <w:tcW w:w="2477"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Реконструкция нежилого здания, Р-Крестьянская,198/3</w:t>
            </w:r>
          </w:p>
        </w:tc>
        <w:tc>
          <w:tcPr>
            <w:tcW w:w="1134"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8732</w:t>
            </w:r>
          </w:p>
        </w:tc>
        <w:tc>
          <w:tcPr>
            <w:tcW w:w="2552"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11.03.2011 (аренда)</w:t>
            </w:r>
          </w:p>
        </w:tc>
        <w:tc>
          <w:tcPr>
            <w:tcW w:w="1275"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29.08.2017</w:t>
            </w:r>
          </w:p>
        </w:tc>
        <w:tc>
          <w:tcPr>
            <w:tcW w:w="2410" w:type="dxa"/>
            <w:tcBorders>
              <w:top w:val="single" w:sz="4" w:space="0" w:color="auto"/>
              <w:left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22.01.2018</w:t>
            </w:r>
          </w:p>
        </w:tc>
      </w:tr>
      <w:tr w:rsidR="00407610" w:rsidRPr="007A42AD">
        <w:tc>
          <w:tcPr>
            <w:tcW w:w="643" w:type="dxa"/>
            <w:tcBorders>
              <w:top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c>
          <w:tcPr>
            <w:tcW w:w="2477" w:type="dxa"/>
            <w:tcBorders>
              <w:top w:val="single" w:sz="4" w:space="0" w:color="auto"/>
              <w:left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c>
          <w:tcPr>
            <w:tcW w:w="1275" w:type="dxa"/>
            <w:tcBorders>
              <w:top w:val="single" w:sz="4" w:space="0" w:color="auto"/>
              <w:left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r>
      <w:tr w:rsidR="00407610" w:rsidRPr="007A42AD">
        <w:tc>
          <w:tcPr>
            <w:tcW w:w="643"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w:t>
            </w:r>
          </w:p>
        </w:tc>
        <w:tc>
          <w:tcPr>
            <w:tcW w:w="2477"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xml:space="preserve">Оптимизация системы </w:t>
            </w:r>
            <w:proofErr w:type="spellStart"/>
            <w:r w:rsidRPr="007A42AD">
              <w:rPr>
                <w:rFonts w:ascii="Times New Roman CYR" w:hAnsi="Times New Roman CYR" w:cs="Times New Roman CYR"/>
              </w:rPr>
              <w:t>теплоснабж</w:t>
            </w:r>
            <w:proofErr w:type="gramStart"/>
            <w:r w:rsidRPr="007A42AD">
              <w:rPr>
                <w:rFonts w:ascii="Times New Roman CYR" w:hAnsi="Times New Roman CYR" w:cs="Times New Roman CYR"/>
              </w:rPr>
              <w:t>.М</w:t>
            </w:r>
            <w:proofErr w:type="gramEnd"/>
            <w:r w:rsidRPr="007A42AD">
              <w:rPr>
                <w:rFonts w:ascii="Times New Roman CYR" w:hAnsi="Times New Roman CYR" w:cs="Times New Roman CYR"/>
              </w:rPr>
              <w:t>агистр.т</w:t>
            </w:r>
            <w:proofErr w:type="spellEnd"/>
            <w:r w:rsidRPr="007A42AD">
              <w:rPr>
                <w:rFonts w:ascii="Times New Roman CYR" w:hAnsi="Times New Roman CYR" w:cs="Times New Roman CYR"/>
              </w:rPr>
              <w:t xml:space="preserve">/сети котельной Доры </w:t>
            </w:r>
            <w:r w:rsidRPr="007A42AD">
              <w:rPr>
                <w:rFonts w:ascii="Times New Roman CYR" w:hAnsi="Times New Roman CYR" w:cs="Times New Roman CYR"/>
              </w:rPr>
              <w:lastRenderedPageBreak/>
              <w:t>Кваш</w:t>
            </w:r>
          </w:p>
        </w:tc>
        <w:tc>
          <w:tcPr>
            <w:tcW w:w="1134"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lastRenderedPageBreak/>
              <w:t>46713</w:t>
            </w:r>
          </w:p>
        </w:tc>
        <w:tc>
          <w:tcPr>
            <w:tcW w:w="2552"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21.11.2012</w:t>
            </w:r>
          </w:p>
        </w:tc>
        <w:tc>
          <w:tcPr>
            <w:tcW w:w="1275"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29.07.2013</w:t>
            </w:r>
          </w:p>
        </w:tc>
        <w:tc>
          <w:tcPr>
            <w:tcW w:w="2410" w:type="dxa"/>
            <w:tcBorders>
              <w:top w:val="single" w:sz="4" w:space="0" w:color="auto"/>
              <w:left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29.02.2014,</w:t>
            </w:r>
          </w:p>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xml:space="preserve">продлен </w:t>
            </w:r>
          </w:p>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до 25.12.2019</w:t>
            </w:r>
          </w:p>
        </w:tc>
      </w:tr>
      <w:tr w:rsidR="00407610" w:rsidRPr="007A42AD">
        <w:tc>
          <w:tcPr>
            <w:tcW w:w="643" w:type="dxa"/>
            <w:tcBorders>
              <w:top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lastRenderedPageBreak/>
              <w:t>3</w:t>
            </w:r>
          </w:p>
        </w:tc>
        <w:tc>
          <w:tcPr>
            <w:tcW w:w="2477"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Склад-магазин, Р-Крестьян,176</w:t>
            </w:r>
            <w:proofErr w:type="gramStart"/>
            <w:r w:rsidRPr="007A42AD">
              <w:rPr>
                <w:rFonts w:ascii="Times New Roman CYR" w:hAnsi="Times New Roman CYR" w:cs="Times New Roman CYR"/>
              </w:rPr>
              <w:t xml:space="preserve"> В</w:t>
            </w:r>
            <w:proofErr w:type="gramEnd"/>
          </w:p>
        </w:tc>
        <w:tc>
          <w:tcPr>
            <w:tcW w:w="1134"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1611</w:t>
            </w:r>
          </w:p>
        </w:tc>
        <w:tc>
          <w:tcPr>
            <w:tcW w:w="2552"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24.11.2014 (аренда)</w:t>
            </w:r>
          </w:p>
        </w:tc>
        <w:tc>
          <w:tcPr>
            <w:tcW w:w="1275"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26.02.2018</w:t>
            </w:r>
          </w:p>
        </w:tc>
        <w:tc>
          <w:tcPr>
            <w:tcW w:w="2410" w:type="dxa"/>
            <w:tcBorders>
              <w:top w:val="single" w:sz="4" w:space="0" w:color="auto"/>
              <w:left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26.09.2018,</w:t>
            </w:r>
          </w:p>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 xml:space="preserve">продлен </w:t>
            </w:r>
          </w:p>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до 23.03.2022</w:t>
            </w:r>
          </w:p>
        </w:tc>
      </w:tr>
      <w:tr w:rsidR="00407610" w:rsidRPr="007A42AD">
        <w:tc>
          <w:tcPr>
            <w:tcW w:w="643" w:type="dxa"/>
            <w:tcBorders>
              <w:top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c>
          <w:tcPr>
            <w:tcW w:w="2477" w:type="dxa"/>
            <w:tcBorders>
              <w:top w:val="single" w:sz="4" w:space="0" w:color="auto"/>
              <w:left w:val="single" w:sz="4" w:space="0" w:color="auto"/>
              <w:bottom w:val="single" w:sz="4" w:space="0" w:color="auto"/>
              <w:right w:val="single" w:sz="4" w:space="0" w:color="auto"/>
            </w:tcBorders>
          </w:tcPr>
          <w:p w:rsidR="00407610" w:rsidRPr="007A42AD" w:rsidRDefault="00407610">
            <w:pPr>
              <w:autoSpaceDE w:val="0"/>
              <w:autoSpaceDN w:val="0"/>
              <w:adjustRightInd w:val="0"/>
              <w:spacing w:after="0" w:line="240" w:lineRule="auto"/>
              <w:jc w:val="center"/>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ИТОГО:</w:t>
            </w:r>
          </w:p>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57 056,0</w:t>
            </w:r>
          </w:p>
        </w:tc>
        <w:tc>
          <w:tcPr>
            <w:tcW w:w="2552"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Х</w:t>
            </w:r>
          </w:p>
        </w:tc>
        <w:tc>
          <w:tcPr>
            <w:tcW w:w="1275" w:type="dxa"/>
            <w:tcBorders>
              <w:top w:val="single" w:sz="4" w:space="0" w:color="auto"/>
              <w:left w:val="single" w:sz="4" w:space="0" w:color="auto"/>
              <w:bottom w:val="single" w:sz="4" w:space="0" w:color="auto"/>
              <w:right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Х</w:t>
            </w:r>
          </w:p>
        </w:tc>
        <w:tc>
          <w:tcPr>
            <w:tcW w:w="2410" w:type="dxa"/>
            <w:tcBorders>
              <w:top w:val="single" w:sz="4" w:space="0" w:color="auto"/>
              <w:left w:val="single" w:sz="4" w:space="0" w:color="auto"/>
              <w:bottom w:val="single" w:sz="4" w:space="0" w:color="auto"/>
            </w:tcBorders>
          </w:tcPr>
          <w:p w:rsidR="00407610" w:rsidRPr="007A42AD" w:rsidRDefault="007A42AD">
            <w:pPr>
              <w:autoSpaceDE w:val="0"/>
              <w:autoSpaceDN w:val="0"/>
              <w:adjustRightInd w:val="0"/>
              <w:spacing w:after="0" w:line="240" w:lineRule="auto"/>
              <w:jc w:val="center"/>
              <w:rPr>
                <w:rFonts w:ascii="Times New Roman CYR" w:hAnsi="Times New Roman CYR" w:cs="Times New Roman CYR"/>
              </w:rPr>
            </w:pPr>
            <w:r w:rsidRPr="007A42AD">
              <w:rPr>
                <w:rFonts w:ascii="Times New Roman CYR" w:hAnsi="Times New Roman CYR" w:cs="Times New Roman CYR"/>
              </w:rPr>
              <w:t>Х</w:t>
            </w:r>
          </w:p>
        </w:tc>
      </w:tr>
    </w:tbl>
    <w:p w:rsidR="00407610" w:rsidRDefault="00407610">
      <w:pPr>
        <w:widowControl w:val="0"/>
        <w:autoSpaceDE w:val="0"/>
        <w:autoSpaceDN w:val="0"/>
        <w:adjustRightInd w:val="0"/>
        <w:spacing w:after="0" w:line="240" w:lineRule="auto"/>
        <w:jc w:val="both"/>
        <w:rPr>
          <w:rFonts w:ascii="Times New Roman CYR" w:hAnsi="Times New Roman CYR" w:cs="Times New Roman CYR"/>
          <w:b/>
          <w:bCs/>
          <w:i/>
          <w:iCs/>
          <w:sz w:val="28"/>
          <w:szCs w:val="28"/>
        </w:rPr>
      </w:pP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1.В 2024 году введен в эксплуатацию после реконструкции объект: нежилое здание по ул. </w:t>
      </w:r>
      <w:proofErr w:type="spellStart"/>
      <w:r>
        <w:rPr>
          <w:rFonts w:ascii="Times New Roman CYR" w:hAnsi="Times New Roman CYR" w:cs="Times New Roman CYR"/>
          <w:sz w:val="24"/>
          <w:szCs w:val="24"/>
        </w:rPr>
        <w:t>Худзинского</w:t>
      </w:r>
      <w:proofErr w:type="spellEnd"/>
      <w:r>
        <w:rPr>
          <w:rFonts w:ascii="Times New Roman CYR" w:hAnsi="Times New Roman CYR" w:cs="Times New Roman CYR"/>
          <w:sz w:val="24"/>
          <w:szCs w:val="24"/>
        </w:rPr>
        <w:t xml:space="preserve">, 10, площадью 2242 </w:t>
      </w:r>
      <w:proofErr w:type="spellStart"/>
      <w:r>
        <w:rPr>
          <w:rFonts w:ascii="Times New Roman CYR" w:hAnsi="Times New Roman CYR" w:cs="Times New Roman CYR"/>
          <w:sz w:val="24"/>
          <w:szCs w:val="24"/>
        </w:rPr>
        <w:t>кв.м</w:t>
      </w:r>
      <w:proofErr w:type="spellEnd"/>
      <w:r>
        <w:rPr>
          <w:rFonts w:ascii="Times New Roman CYR" w:hAnsi="Times New Roman CYR" w:cs="Times New Roman CYR"/>
          <w:sz w:val="24"/>
          <w:szCs w:val="24"/>
        </w:rPr>
        <w:t>. и введен в эксплуатацию объект: здание банно-оздоровительного комплекса по ул</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троителей,15, площадью 500 </w:t>
      </w:r>
      <w:proofErr w:type="spellStart"/>
      <w:r>
        <w:rPr>
          <w:rFonts w:ascii="Times New Roman CYR" w:hAnsi="Times New Roman CYR" w:cs="Times New Roman CYR"/>
          <w:sz w:val="24"/>
          <w:szCs w:val="24"/>
        </w:rPr>
        <w:t>кв.м</w:t>
      </w:r>
      <w:proofErr w:type="spellEnd"/>
      <w:r>
        <w:rPr>
          <w:rFonts w:ascii="Times New Roman CYR" w:hAnsi="Times New Roman CYR" w:cs="Times New Roman CYR"/>
          <w:sz w:val="24"/>
          <w:szCs w:val="24"/>
        </w:rPr>
        <w:t>.</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2.В 2025 году планируется ввод объекта склад-магазин по </w:t>
      </w:r>
      <w:proofErr w:type="spellStart"/>
      <w:r>
        <w:rPr>
          <w:rFonts w:ascii="Times New Roman CYR" w:hAnsi="Times New Roman CYR" w:cs="Times New Roman CYR"/>
          <w:sz w:val="24"/>
          <w:szCs w:val="24"/>
        </w:rPr>
        <w:t>ул</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обоче</w:t>
      </w:r>
      <w:proofErr w:type="spellEnd"/>
      <w:r>
        <w:rPr>
          <w:rFonts w:ascii="Times New Roman CYR" w:hAnsi="Times New Roman CYR" w:cs="Times New Roman CYR"/>
          <w:sz w:val="24"/>
          <w:szCs w:val="24"/>
        </w:rPr>
        <w:t xml:space="preserve">-Крестьянская, 176 В, общей площадью 1611 </w:t>
      </w:r>
      <w:proofErr w:type="spellStart"/>
      <w:r>
        <w:rPr>
          <w:rFonts w:ascii="Times New Roman CYR" w:hAnsi="Times New Roman CYR" w:cs="Times New Roman CYR"/>
          <w:sz w:val="24"/>
          <w:szCs w:val="24"/>
        </w:rPr>
        <w:t>кв.м</w:t>
      </w:r>
      <w:proofErr w:type="spellEnd"/>
      <w:r>
        <w:rPr>
          <w:rFonts w:ascii="Times New Roman CYR" w:hAnsi="Times New Roman CYR" w:cs="Times New Roman CYR"/>
          <w:sz w:val="24"/>
          <w:szCs w:val="24"/>
        </w:rPr>
        <w:t>.</w:t>
      </w:r>
    </w:p>
    <w:p w:rsidR="00407610" w:rsidRDefault="007A42A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3.Проектная документация по строительству котельной откорректирована, в настоящее время определяется вид топлива, работы приостановлены. Ввод в эксплуатацию объекта "Оптимизация системы теплоснабжения. Магистральные тепловые сети котельной Доры Кваш" </w:t>
      </w:r>
      <w:proofErr w:type="spellStart"/>
      <w:r>
        <w:rPr>
          <w:rFonts w:ascii="Times New Roman CYR" w:hAnsi="Times New Roman CYR" w:cs="Times New Roman CYR"/>
          <w:sz w:val="24"/>
          <w:szCs w:val="24"/>
        </w:rPr>
        <w:t>планиреутся</w:t>
      </w:r>
      <w:proofErr w:type="spellEnd"/>
      <w:r>
        <w:rPr>
          <w:rFonts w:ascii="Times New Roman CYR" w:hAnsi="Times New Roman CYR" w:cs="Times New Roman CYR"/>
          <w:sz w:val="24"/>
          <w:szCs w:val="24"/>
        </w:rPr>
        <w:t xml:space="preserve"> после ввода котельной в 2027 году".</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VII. Жилищно-коммунальное хозяйство</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27.Доля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 Жилищным кодексом РФ для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общим имуществом, собственники помещений многоквартирного дома обязаны выбрать и реализовать один из способов управления многоквартирным домом. </w:t>
      </w: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Доля многоквартирных домов на территории города, в которых собственники помещений выбрали и реализуют один из способов управления многоквартирным домом, в 2024 году составляет 92,69 %.</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28. Доля организаций коммунального комплекса, осуществляющих производство товаров, оказание услуг по водо-, тепл</w:t>
      </w:r>
      <w:proofErr w:type="gramStart"/>
      <w:r w:rsidRPr="006B5DE2">
        <w:rPr>
          <w:rFonts w:ascii="Times New Roman CYR" w:hAnsi="Times New Roman CYR" w:cs="Times New Roman CYR"/>
          <w:b/>
          <w:bCs/>
          <w:color w:val="000000"/>
          <w:sz w:val="24"/>
          <w:szCs w:val="24"/>
        </w:rPr>
        <w:t>о-</w:t>
      </w:r>
      <w:proofErr w:type="gramEnd"/>
      <w:r w:rsidRPr="006B5DE2">
        <w:rPr>
          <w:rFonts w:ascii="Times New Roman CYR" w:hAnsi="Times New Roman CYR" w:cs="Times New Roman CYR"/>
          <w:b/>
          <w:bCs/>
          <w:color w:val="000000"/>
          <w:sz w:val="24"/>
          <w:szCs w:val="24"/>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Доля организаций коммунального комплекса, осуществляющих производство товаров, оказания услуг по водо-, тепло-, электроснабжению, водоотведению, очистке сточных вод, утилизации (захоронению) твердых коммунальных отходов, и использующих объекты коммунальной инфраструктуры на праве частной собственности, по договору аренды или </w:t>
      </w:r>
      <w:r>
        <w:rPr>
          <w:rFonts w:ascii="Times New Roman CYR" w:hAnsi="Times New Roman CYR" w:cs="Times New Roman CYR"/>
          <w:sz w:val="24"/>
          <w:szCs w:val="24"/>
        </w:rPr>
        <w:lastRenderedPageBreak/>
        <w:t xml:space="preserve">концессии, участие субъекта РФ и (или) городского </w:t>
      </w:r>
      <w:proofErr w:type="gramStart"/>
      <w:r>
        <w:rPr>
          <w:rFonts w:ascii="Times New Roman CYR" w:hAnsi="Times New Roman CYR" w:cs="Times New Roman CYR"/>
          <w:sz w:val="24"/>
          <w:szCs w:val="24"/>
        </w:rPr>
        <w:t>округа</w:t>
      </w:r>
      <w:proofErr w:type="gramEnd"/>
      <w:r>
        <w:rPr>
          <w:rFonts w:ascii="Times New Roman CYR" w:hAnsi="Times New Roman CYR" w:cs="Times New Roman CYR"/>
          <w:sz w:val="24"/>
          <w:szCs w:val="24"/>
        </w:rPr>
        <w:t xml:space="preserve"> в уставном капитале которых не более 25 процентов составляет в 2023 году – 55,5 %, в 2024 году- 55,5%. </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29.Доля многоквартирных домов, расположенных на земельных участках, в отношении которых осуществлен государственный кадастровый учет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территории города Енисейска всего 383 дома. Доля многоквартирных домов, расположенных на земельных участках, в отношении которых осуществлен государственный кадастровый учет, составляет в 2024 году- 96,08% от общего числа многоквартирных домов. В плановом периоде ожидается увеличение данного показателя в 2025 году - до 100%, в 2026 году - до 100%, в 2027 году - </w:t>
      </w:r>
      <w:proofErr w:type="gramStart"/>
      <w:r>
        <w:rPr>
          <w:rFonts w:ascii="Times New Roman CYR" w:hAnsi="Times New Roman CYR" w:cs="Times New Roman CYR"/>
          <w:color w:val="000000"/>
          <w:sz w:val="24"/>
          <w:szCs w:val="24"/>
        </w:rPr>
        <w:t>до</w:t>
      </w:r>
      <w:proofErr w:type="gramEnd"/>
      <w:r>
        <w:rPr>
          <w:rFonts w:ascii="Times New Roman CYR" w:hAnsi="Times New Roman CYR" w:cs="Times New Roman CYR"/>
          <w:color w:val="000000"/>
          <w:sz w:val="24"/>
          <w:szCs w:val="24"/>
        </w:rPr>
        <w:t xml:space="preserve"> 100%, </w:t>
      </w:r>
      <w:proofErr w:type="gramStart"/>
      <w:r>
        <w:rPr>
          <w:rFonts w:ascii="Times New Roman CYR" w:hAnsi="Times New Roman CYR" w:cs="Times New Roman CYR"/>
          <w:color w:val="000000"/>
          <w:sz w:val="24"/>
          <w:szCs w:val="24"/>
        </w:rPr>
        <w:t>при</w:t>
      </w:r>
      <w:proofErr w:type="gramEnd"/>
      <w:r>
        <w:rPr>
          <w:rFonts w:ascii="Times New Roman CYR" w:hAnsi="Times New Roman CYR" w:cs="Times New Roman CYR"/>
          <w:color w:val="000000"/>
          <w:sz w:val="24"/>
          <w:szCs w:val="24"/>
        </w:rPr>
        <w:t xml:space="preserve"> наличии финансовых средств в местном бюджете на выполнение кадастровых работ.</w:t>
      </w:r>
    </w:p>
    <w:p w:rsidR="00407610" w:rsidRDefault="00407610">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Расшифровка значений показателя, используемых при расчете:</w:t>
      </w:r>
    </w:p>
    <w:tbl>
      <w:tblPr>
        <w:tblW w:w="0" w:type="auto"/>
        <w:tblInd w:w="93" w:type="dxa"/>
        <w:tblLayout w:type="fixed"/>
        <w:tblLook w:val="0000" w:firstRow="0" w:lastRow="0" w:firstColumn="0" w:lastColumn="0" w:noHBand="0" w:noVBand="0"/>
      </w:tblPr>
      <w:tblGrid>
        <w:gridCol w:w="4126"/>
        <w:gridCol w:w="1134"/>
        <w:gridCol w:w="1134"/>
        <w:gridCol w:w="992"/>
        <w:gridCol w:w="1134"/>
        <w:gridCol w:w="1418"/>
        <w:gridCol w:w="1206"/>
      </w:tblGrid>
      <w:tr w:rsidR="00407610" w:rsidRPr="007A42AD">
        <w:trPr>
          <w:gridAfter w:val="1"/>
          <w:wAfter w:w="1206" w:type="dxa"/>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Наименование показателя и единицы измерения</w:t>
            </w:r>
          </w:p>
        </w:tc>
        <w:tc>
          <w:tcPr>
            <w:tcW w:w="5812" w:type="dxa"/>
            <w:gridSpan w:val="5"/>
            <w:tcBorders>
              <w:top w:val="single" w:sz="4" w:space="0" w:color="auto"/>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Значения показателя</w:t>
            </w:r>
          </w:p>
        </w:tc>
      </w:tr>
      <w:tr w:rsidR="00407610" w:rsidRPr="007A42AD">
        <w:trPr>
          <w:gridAfter w:val="1"/>
          <w:wAfter w:w="1206" w:type="dxa"/>
          <w:trHeight w:val="600"/>
        </w:trPr>
        <w:tc>
          <w:tcPr>
            <w:tcW w:w="4126" w:type="dxa"/>
            <w:vMerge/>
            <w:tcBorders>
              <w:top w:val="single" w:sz="4" w:space="0" w:color="auto"/>
              <w:left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rPr>
            </w:pP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2023 факт</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2024 факт</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2025 факт</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2026 оценка</w:t>
            </w:r>
          </w:p>
        </w:tc>
        <w:tc>
          <w:tcPr>
            <w:tcW w:w="1418"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 xml:space="preserve">2027 </w:t>
            </w:r>
          </w:p>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прогноз</w:t>
            </w:r>
          </w:p>
        </w:tc>
      </w:tr>
      <w:tr w:rsidR="00407610" w:rsidRPr="007A42AD">
        <w:trPr>
          <w:gridAfter w:val="1"/>
          <w:wAfter w:w="1206" w:type="dxa"/>
          <w:trHeight w:val="900"/>
        </w:trPr>
        <w:tc>
          <w:tcPr>
            <w:tcW w:w="4126"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jc w:val="both"/>
              <w:rPr>
                <w:rFonts w:ascii="Times New Roman CYR" w:hAnsi="Times New Roman CYR" w:cs="Times New Roman CYR"/>
                <w:color w:val="000000"/>
              </w:rPr>
            </w:pPr>
            <w:r w:rsidRPr="007A42AD">
              <w:rPr>
                <w:rFonts w:ascii="Times New Roman CYR" w:hAnsi="Times New Roman CYR" w:cs="Times New Roman CYR"/>
                <w:color w:val="00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364</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368</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c>
          <w:tcPr>
            <w:tcW w:w="1418"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r>
      <w:tr w:rsidR="00407610" w:rsidRPr="007A42AD">
        <w:trPr>
          <w:trHeight w:val="1200"/>
        </w:trPr>
        <w:tc>
          <w:tcPr>
            <w:tcW w:w="4126"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jc w:val="both"/>
              <w:rPr>
                <w:rFonts w:ascii="Times New Roman CYR" w:hAnsi="Times New Roman CYR" w:cs="Times New Roman CYR"/>
                <w:color w:val="000000"/>
              </w:rPr>
            </w:pPr>
            <w:r w:rsidRPr="007A42AD">
              <w:rPr>
                <w:rFonts w:ascii="Times New Roman CYR" w:hAnsi="Times New Roman CYR" w:cs="Times New Roman CYR"/>
                <w:color w:val="000000"/>
              </w:rPr>
              <w:t xml:space="preserve">2. Общее число многоквартирных домов по состоянию на конец отчетного периода, единиц </w:t>
            </w:r>
            <w:r w:rsidRPr="007A42AD">
              <w:rPr>
                <w:rFonts w:ascii="Times New Roman CYR" w:hAnsi="Times New Roman CYR" w:cs="Times New Roman CYR"/>
                <w:color w:val="000000"/>
              </w:rPr>
              <w:br/>
            </w:r>
            <w:r w:rsidRPr="007A42AD">
              <w:rPr>
                <w:rFonts w:ascii="Times New Roman CYR" w:hAnsi="Times New Roman CYR" w:cs="Times New Roman CYR"/>
                <w:i/>
                <w:iCs/>
                <w:color w:val="000000"/>
              </w:rPr>
              <w:t>(по данным статистического отчета 1-жилфонд строка 01 графа 6)</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c>
          <w:tcPr>
            <w:tcW w:w="1418"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jc w:val="center"/>
              <w:rPr>
                <w:rFonts w:ascii="Times New Roman CYR" w:hAnsi="Times New Roman CYR" w:cs="Times New Roman CYR"/>
                <w:color w:val="000000"/>
              </w:rPr>
            </w:pPr>
            <w:r w:rsidRPr="007A42AD">
              <w:rPr>
                <w:rFonts w:ascii="Times New Roman CYR" w:hAnsi="Times New Roman CYR" w:cs="Times New Roman CYR"/>
                <w:color w:val="000000"/>
              </w:rPr>
              <w:t>383</w:t>
            </w:r>
          </w:p>
        </w:tc>
        <w:tc>
          <w:tcPr>
            <w:tcW w:w="1206" w:type="dxa"/>
            <w:tcBorders>
              <w:top w:val="nil"/>
              <w:left w:val="nil"/>
              <w:bottom w:val="nil"/>
              <w:right w:val="nil"/>
            </w:tcBorders>
            <w:vAlign w:val="center"/>
          </w:tcPr>
          <w:p w:rsidR="00407610" w:rsidRPr="007A42AD" w:rsidRDefault="00407610">
            <w:pPr>
              <w:autoSpaceDE w:val="0"/>
              <w:autoSpaceDN w:val="0"/>
              <w:adjustRightInd w:val="0"/>
              <w:spacing w:after="0"/>
              <w:jc w:val="center"/>
              <w:rPr>
                <w:rFonts w:ascii="Times New Roman CYR" w:hAnsi="Times New Roman CYR" w:cs="Times New Roman CYR"/>
                <w:color w:val="000000"/>
              </w:rPr>
            </w:pPr>
          </w:p>
        </w:tc>
      </w:tr>
      <w:tr w:rsidR="00407610" w:rsidRPr="007A42AD">
        <w:trPr>
          <w:gridAfter w:val="1"/>
          <w:wAfter w:w="1206" w:type="dxa"/>
          <w:trHeight w:val="1272"/>
        </w:trPr>
        <w:tc>
          <w:tcPr>
            <w:tcW w:w="4126"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jc w:val="both"/>
              <w:rPr>
                <w:rFonts w:ascii="Times New Roman CYR" w:hAnsi="Times New Roman CYR" w:cs="Times New Roman CYR"/>
                <w:b/>
                <w:bCs/>
                <w:color w:val="000000"/>
              </w:rPr>
            </w:pPr>
            <w:r w:rsidRPr="007A42AD">
              <w:rPr>
                <w:rFonts w:ascii="Times New Roman CYR" w:hAnsi="Times New Roman CYR" w:cs="Times New Roman CYR"/>
                <w:b/>
                <w:bCs/>
                <w:color w:val="000000"/>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1134" w:type="dxa"/>
            <w:tcBorders>
              <w:top w:val="nil"/>
              <w:left w:val="nil"/>
              <w:bottom w:val="single" w:sz="4" w:space="0" w:color="auto"/>
              <w:right w:val="single" w:sz="4" w:space="0" w:color="auto"/>
            </w:tcBorders>
            <w:shd w:val="clear" w:color="auto" w:fill="D9D9D9"/>
            <w:vAlign w:val="center"/>
          </w:tcPr>
          <w:p w:rsidR="00407610" w:rsidRPr="007A42AD" w:rsidRDefault="007A42AD">
            <w:pPr>
              <w:autoSpaceDE w:val="0"/>
              <w:autoSpaceDN w:val="0"/>
              <w:adjustRightInd w:val="0"/>
              <w:spacing w:after="0"/>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95,04</w:t>
            </w:r>
          </w:p>
        </w:tc>
        <w:tc>
          <w:tcPr>
            <w:tcW w:w="1134" w:type="dxa"/>
            <w:tcBorders>
              <w:top w:val="nil"/>
              <w:left w:val="nil"/>
              <w:bottom w:val="single" w:sz="4" w:space="0" w:color="auto"/>
              <w:right w:val="single" w:sz="4" w:space="0" w:color="auto"/>
            </w:tcBorders>
            <w:shd w:val="clear" w:color="auto" w:fill="D9D9D9"/>
            <w:vAlign w:val="center"/>
          </w:tcPr>
          <w:p w:rsidR="00407610" w:rsidRPr="007A42AD" w:rsidRDefault="007A42AD">
            <w:pPr>
              <w:autoSpaceDE w:val="0"/>
              <w:autoSpaceDN w:val="0"/>
              <w:adjustRightInd w:val="0"/>
              <w:spacing w:after="0"/>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96,08</w:t>
            </w:r>
          </w:p>
        </w:tc>
        <w:tc>
          <w:tcPr>
            <w:tcW w:w="992" w:type="dxa"/>
            <w:tcBorders>
              <w:top w:val="nil"/>
              <w:left w:val="nil"/>
              <w:bottom w:val="single" w:sz="4" w:space="0" w:color="auto"/>
              <w:right w:val="single" w:sz="4" w:space="0" w:color="auto"/>
            </w:tcBorders>
            <w:shd w:val="clear" w:color="auto" w:fill="D9D9D9"/>
            <w:vAlign w:val="center"/>
          </w:tcPr>
          <w:p w:rsidR="00407610" w:rsidRPr="007A42AD" w:rsidRDefault="007A42AD">
            <w:pPr>
              <w:autoSpaceDE w:val="0"/>
              <w:autoSpaceDN w:val="0"/>
              <w:adjustRightInd w:val="0"/>
              <w:spacing w:after="0"/>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100,0</w:t>
            </w:r>
          </w:p>
        </w:tc>
        <w:tc>
          <w:tcPr>
            <w:tcW w:w="1134" w:type="dxa"/>
            <w:tcBorders>
              <w:top w:val="nil"/>
              <w:left w:val="nil"/>
              <w:bottom w:val="single" w:sz="4" w:space="0" w:color="auto"/>
              <w:right w:val="single" w:sz="4" w:space="0" w:color="auto"/>
            </w:tcBorders>
            <w:shd w:val="clear" w:color="auto" w:fill="D9D9D9"/>
            <w:vAlign w:val="center"/>
          </w:tcPr>
          <w:p w:rsidR="00407610" w:rsidRPr="007A42AD" w:rsidRDefault="007A42AD">
            <w:pPr>
              <w:autoSpaceDE w:val="0"/>
              <w:autoSpaceDN w:val="0"/>
              <w:adjustRightInd w:val="0"/>
              <w:spacing w:after="0"/>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100,00</w:t>
            </w:r>
          </w:p>
        </w:tc>
        <w:tc>
          <w:tcPr>
            <w:tcW w:w="1418" w:type="dxa"/>
            <w:tcBorders>
              <w:top w:val="nil"/>
              <w:left w:val="nil"/>
              <w:bottom w:val="single" w:sz="4" w:space="0" w:color="auto"/>
              <w:right w:val="single" w:sz="4" w:space="0" w:color="auto"/>
            </w:tcBorders>
            <w:shd w:val="clear" w:color="auto" w:fill="D9D9D9"/>
            <w:vAlign w:val="center"/>
          </w:tcPr>
          <w:p w:rsidR="00407610" w:rsidRPr="007A42AD" w:rsidRDefault="007A42AD">
            <w:pPr>
              <w:autoSpaceDE w:val="0"/>
              <w:autoSpaceDN w:val="0"/>
              <w:adjustRightInd w:val="0"/>
              <w:spacing w:after="0"/>
              <w:jc w:val="center"/>
              <w:rPr>
                <w:rFonts w:ascii="Times New Roman CYR" w:hAnsi="Times New Roman CYR" w:cs="Times New Roman CYR"/>
                <w:b/>
                <w:bCs/>
                <w:color w:val="000000"/>
              </w:rPr>
            </w:pPr>
            <w:r w:rsidRPr="007A42AD">
              <w:rPr>
                <w:rFonts w:ascii="Times New Roman CYR" w:hAnsi="Times New Roman CYR" w:cs="Times New Roman CYR"/>
                <w:b/>
                <w:bCs/>
                <w:color w:val="000000"/>
              </w:rPr>
              <w:t>100,00</w:t>
            </w:r>
          </w:p>
        </w:tc>
      </w:tr>
    </w:tbl>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 xml:space="preserve">30. </w:t>
      </w:r>
      <w:proofErr w:type="gramStart"/>
      <w:r w:rsidRPr="006B5DE2">
        <w:rPr>
          <w:rFonts w:ascii="Times New Roman CYR" w:hAnsi="Times New Roman CYR" w:cs="Times New Roman CYR"/>
          <w:b/>
          <w:bCs/>
          <w:color w:val="000000"/>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sz w:val="24"/>
          <w:szCs w:val="24"/>
        </w:rPr>
      </w:pPr>
      <w:proofErr w:type="gramStart"/>
      <w:r>
        <w:rPr>
          <w:rFonts w:ascii="Times New Roman CYR" w:hAnsi="Times New Roman CYR" w:cs="Times New Roman CYR"/>
          <w:color w:val="000000"/>
          <w:sz w:val="24"/>
          <w:szCs w:val="24"/>
        </w:rPr>
        <w:t>Доля населения, получившего жилые помещения и улучшившие жилищные условия в отчетном году, в общей численности населения, состоящего на учете в качестве нуждающегося  в жилых помещениях в 2024 году составляет 1,89</w:t>
      </w:r>
      <w:r>
        <w:rPr>
          <w:rFonts w:ascii="Times New Roman CYR" w:hAnsi="Times New Roman CYR" w:cs="Times New Roman CYR"/>
          <w:sz w:val="24"/>
          <w:szCs w:val="24"/>
        </w:rPr>
        <w:t>%.</w:t>
      </w:r>
      <w:proofErr w:type="gramEnd"/>
    </w:p>
    <w:p w:rsidR="006B5DE2" w:rsidRDefault="006B5DE2">
      <w:pPr>
        <w:autoSpaceDE w:val="0"/>
        <w:autoSpaceDN w:val="0"/>
        <w:adjustRightInd w:val="0"/>
        <w:spacing w:after="0" w:line="240" w:lineRule="auto"/>
        <w:ind w:firstLine="708"/>
        <w:jc w:val="both"/>
        <w:rPr>
          <w:rFonts w:ascii="Times New Roman CYR" w:hAnsi="Times New Roman CYR" w:cs="Times New Roman CYR"/>
          <w:sz w:val="24"/>
          <w:szCs w:val="24"/>
        </w:rPr>
      </w:pPr>
    </w:p>
    <w:p w:rsidR="006B5DE2" w:rsidRDefault="006B5DE2">
      <w:pPr>
        <w:autoSpaceDE w:val="0"/>
        <w:autoSpaceDN w:val="0"/>
        <w:adjustRightInd w:val="0"/>
        <w:spacing w:after="0" w:line="240" w:lineRule="auto"/>
        <w:ind w:firstLine="708"/>
        <w:jc w:val="both"/>
        <w:rPr>
          <w:rFonts w:ascii="Times New Roman CYR" w:hAnsi="Times New Roman CYR" w:cs="Times New Roman CYR"/>
          <w:sz w:val="24"/>
          <w:szCs w:val="24"/>
        </w:rPr>
      </w:pPr>
    </w:p>
    <w:p w:rsidR="006B5DE2" w:rsidRDefault="006B5DE2">
      <w:pPr>
        <w:autoSpaceDE w:val="0"/>
        <w:autoSpaceDN w:val="0"/>
        <w:adjustRightInd w:val="0"/>
        <w:spacing w:after="0" w:line="240" w:lineRule="auto"/>
        <w:ind w:firstLine="708"/>
        <w:jc w:val="both"/>
        <w:rPr>
          <w:rFonts w:ascii="Times New Roman CYR" w:hAnsi="Times New Roman CYR" w:cs="Times New Roman CYR"/>
          <w:sz w:val="24"/>
          <w:szCs w:val="24"/>
        </w:rPr>
      </w:pPr>
    </w:p>
    <w:p w:rsidR="006B5DE2" w:rsidRDefault="006B5DE2">
      <w:pPr>
        <w:autoSpaceDE w:val="0"/>
        <w:autoSpaceDN w:val="0"/>
        <w:adjustRightInd w:val="0"/>
        <w:spacing w:after="0" w:line="240" w:lineRule="auto"/>
        <w:ind w:firstLine="708"/>
        <w:jc w:val="both"/>
        <w:rPr>
          <w:rFonts w:ascii="Times New Roman CYR" w:hAnsi="Times New Roman CYR" w:cs="Times New Roman CYR"/>
          <w:sz w:val="24"/>
          <w:szCs w:val="24"/>
        </w:rPr>
      </w:pPr>
    </w:p>
    <w:p w:rsidR="006B5DE2" w:rsidRDefault="006B5DE2">
      <w:pPr>
        <w:autoSpaceDE w:val="0"/>
        <w:autoSpaceDN w:val="0"/>
        <w:adjustRightInd w:val="0"/>
        <w:spacing w:after="0" w:line="240" w:lineRule="auto"/>
        <w:ind w:firstLine="708"/>
        <w:jc w:val="both"/>
        <w:rPr>
          <w:rFonts w:ascii="Times New Roman CYR" w:hAnsi="Times New Roman CYR" w:cs="Times New Roman CYR"/>
          <w:sz w:val="24"/>
          <w:szCs w:val="24"/>
        </w:rPr>
      </w:pPr>
    </w:p>
    <w:p w:rsidR="006B5DE2" w:rsidRDefault="006B5DE2">
      <w:pPr>
        <w:autoSpaceDE w:val="0"/>
        <w:autoSpaceDN w:val="0"/>
        <w:adjustRightInd w:val="0"/>
        <w:spacing w:after="0" w:line="240" w:lineRule="auto"/>
        <w:ind w:firstLine="708"/>
        <w:jc w:val="both"/>
        <w:rPr>
          <w:rFonts w:ascii="Times New Roman CYR" w:hAnsi="Times New Roman CYR" w:cs="Times New Roman CYR"/>
          <w:sz w:val="24"/>
          <w:szCs w:val="24"/>
        </w:rPr>
      </w:pPr>
    </w:p>
    <w:p w:rsidR="00407610" w:rsidRDefault="00407610">
      <w:pPr>
        <w:autoSpaceDE w:val="0"/>
        <w:autoSpaceDN w:val="0"/>
        <w:adjustRightInd w:val="0"/>
        <w:spacing w:after="0" w:line="240" w:lineRule="auto"/>
        <w:ind w:firstLine="708"/>
        <w:jc w:val="both"/>
        <w:rPr>
          <w:rFonts w:ascii="Times New Roman CYR" w:hAnsi="Times New Roman CYR" w:cs="Times New Roman CYR"/>
          <w:sz w:val="24"/>
          <w:szCs w:val="24"/>
        </w:rPr>
      </w:pPr>
    </w:p>
    <w:tbl>
      <w:tblPr>
        <w:tblW w:w="0" w:type="auto"/>
        <w:tblInd w:w="93" w:type="dxa"/>
        <w:tblLayout w:type="fixed"/>
        <w:tblLook w:val="0000" w:firstRow="0" w:lastRow="0" w:firstColumn="0" w:lastColumn="0" w:noHBand="0" w:noVBand="0"/>
      </w:tblPr>
      <w:tblGrid>
        <w:gridCol w:w="5118"/>
        <w:gridCol w:w="851"/>
        <w:gridCol w:w="850"/>
        <w:gridCol w:w="993"/>
        <w:gridCol w:w="992"/>
        <w:gridCol w:w="992"/>
      </w:tblGrid>
      <w:tr w:rsidR="00407610" w:rsidRPr="007A42AD">
        <w:trPr>
          <w:trHeight w:val="300"/>
        </w:trPr>
        <w:tc>
          <w:tcPr>
            <w:tcW w:w="5118" w:type="dxa"/>
            <w:vMerge w:val="restart"/>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lastRenderedPageBreak/>
              <w:t>Наименование показателя и единицы измерения</w:t>
            </w:r>
          </w:p>
        </w:tc>
        <w:tc>
          <w:tcPr>
            <w:tcW w:w="4678" w:type="dxa"/>
            <w:gridSpan w:val="5"/>
            <w:tcBorders>
              <w:top w:val="single" w:sz="4" w:space="0" w:color="auto"/>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Значения показателя</w:t>
            </w:r>
          </w:p>
        </w:tc>
      </w:tr>
      <w:tr w:rsidR="00407610" w:rsidRPr="007A42AD">
        <w:trPr>
          <w:trHeight w:val="600"/>
        </w:trPr>
        <w:tc>
          <w:tcPr>
            <w:tcW w:w="5118" w:type="dxa"/>
            <w:vMerge/>
            <w:tcBorders>
              <w:top w:val="single" w:sz="4" w:space="0" w:color="auto"/>
              <w:left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rPr>
            </w:pPr>
          </w:p>
        </w:tc>
        <w:tc>
          <w:tcPr>
            <w:tcW w:w="851"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2023 факт</w:t>
            </w:r>
          </w:p>
        </w:tc>
        <w:tc>
          <w:tcPr>
            <w:tcW w:w="85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2024 факт</w:t>
            </w:r>
          </w:p>
        </w:tc>
        <w:tc>
          <w:tcPr>
            <w:tcW w:w="99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2025 оценка</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2026 прогноз</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2027 прогноз</w:t>
            </w:r>
          </w:p>
        </w:tc>
      </w:tr>
      <w:tr w:rsidR="00407610" w:rsidRPr="007A42AD">
        <w:trPr>
          <w:trHeight w:val="1500"/>
        </w:trPr>
        <w:tc>
          <w:tcPr>
            <w:tcW w:w="5118"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rPr>
            </w:pPr>
            <w:r w:rsidRPr="007A42AD">
              <w:rPr>
                <w:rFonts w:ascii="Times New Roman CYR" w:hAnsi="Times New Roman CYR" w:cs="Times New Roman CYR"/>
                <w:color w:val="000000"/>
              </w:rPr>
              <w:t xml:space="preserve">1. Численность населения (семей), получившего жилые помещения и улучшившего жилищные условия </w:t>
            </w:r>
            <w:r w:rsidRPr="007A42AD">
              <w:rPr>
                <w:rFonts w:ascii="Times New Roman CYR" w:hAnsi="Times New Roman CYR" w:cs="Times New Roman CYR"/>
                <w:b/>
                <w:bCs/>
                <w:color w:val="000000"/>
              </w:rPr>
              <w:t>по договору социального найма в отчетном году</w:t>
            </w:r>
            <w:r w:rsidRPr="007A42AD">
              <w:rPr>
                <w:rFonts w:ascii="Times New Roman CYR" w:hAnsi="Times New Roman CYR" w:cs="Times New Roman CYR"/>
                <w:color w:val="000000"/>
              </w:rPr>
              <w:br/>
            </w:r>
            <w:r w:rsidRPr="007A42AD">
              <w:rPr>
                <w:rFonts w:ascii="Times New Roman CYR" w:hAnsi="Times New Roman CYR" w:cs="Times New Roman CYR"/>
                <w:i/>
                <w:iCs/>
                <w:color w:val="000000"/>
              </w:rPr>
              <w:t>(по данным статистического отчета 4-соцнайм графа 3 строка 01 минус строка 02)</w:t>
            </w:r>
          </w:p>
        </w:tc>
        <w:tc>
          <w:tcPr>
            <w:tcW w:w="851"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3</w:t>
            </w:r>
          </w:p>
        </w:tc>
        <w:tc>
          <w:tcPr>
            <w:tcW w:w="85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2</w:t>
            </w:r>
          </w:p>
        </w:tc>
        <w:tc>
          <w:tcPr>
            <w:tcW w:w="99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4</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4</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4</w:t>
            </w:r>
          </w:p>
        </w:tc>
      </w:tr>
      <w:tr w:rsidR="00407610" w:rsidRPr="007A42AD">
        <w:trPr>
          <w:trHeight w:val="1185"/>
        </w:trPr>
        <w:tc>
          <w:tcPr>
            <w:tcW w:w="5118"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color w:val="000000"/>
              </w:rPr>
            </w:pPr>
            <w:r w:rsidRPr="007A42AD">
              <w:rPr>
                <w:rFonts w:ascii="Times New Roman CYR" w:hAnsi="Times New Roman CYR" w:cs="Times New Roman CYR"/>
                <w:color w:val="000000"/>
              </w:rPr>
              <w:t xml:space="preserve">2. Численность населения (семей), состоящего на учете в качестве нуждающегося в жилых помещениях </w:t>
            </w:r>
            <w:r w:rsidRPr="007A42AD">
              <w:rPr>
                <w:rFonts w:ascii="Times New Roman CYR" w:hAnsi="Times New Roman CYR" w:cs="Times New Roman CYR"/>
                <w:b/>
                <w:bCs/>
                <w:color w:val="000000"/>
              </w:rPr>
              <w:t>по договорам социального найма на конец прошлого года</w:t>
            </w:r>
            <w:r w:rsidRPr="007A42AD">
              <w:rPr>
                <w:rFonts w:ascii="Times New Roman CYR" w:hAnsi="Times New Roman CYR" w:cs="Times New Roman CYR"/>
                <w:color w:val="000000"/>
              </w:rPr>
              <w:t>, чел. *</w:t>
            </w:r>
          </w:p>
        </w:tc>
        <w:tc>
          <w:tcPr>
            <w:tcW w:w="851"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113</w:t>
            </w:r>
          </w:p>
        </w:tc>
        <w:tc>
          <w:tcPr>
            <w:tcW w:w="850"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106</w:t>
            </w:r>
          </w:p>
        </w:tc>
        <w:tc>
          <w:tcPr>
            <w:tcW w:w="993"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114</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114</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rPr>
            </w:pPr>
            <w:r w:rsidRPr="007A42AD">
              <w:rPr>
                <w:rFonts w:ascii="Times New Roman CYR" w:hAnsi="Times New Roman CYR" w:cs="Times New Roman CYR"/>
                <w:color w:val="000000"/>
              </w:rPr>
              <w:t>114</w:t>
            </w:r>
          </w:p>
        </w:tc>
      </w:tr>
      <w:tr w:rsidR="00407610" w:rsidRPr="007A42AD">
        <w:trPr>
          <w:trHeight w:val="1523"/>
        </w:trPr>
        <w:tc>
          <w:tcPr>
            <w:tcW w:w="5118"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both"/>
              <w:rPr>
                <w:rFonts w:ascii="Times New Roman CYR" w:hAnsi="Times New Roman CYR" w:cs="Times New Roman CYR"/>
                <w:b/>
                <w:bCs/>
                <w:color w:val="000000"/>
              </w:rPr>
            </w:pPr>
            <w:r w:rsidRPr="007A42AD">
              <w:rPr>
                <w:rFonts w:ascii="Times New Roman CYR" w:hAnsi="Times New Roman CYR" w:cs="Times New Roman CYR"/>
                <w:b/>
                <w:bCs/>
                <w:color w:val="000000"/>
              </w:rPr>
              <w:t xml:space="preserve">3. </w:t>
            </w:r>
            <w:proofErr w:type="gramStart"/>
            <w:r w:rsidRPr="007A42AD">
              <w:rPr>
                <w:rFonts w:ascii="Times New Roman CYR" w:hAnsi="Times New Roman CYR" w:cs="Times New Roman CYR"/>
                <w:b/>
                <w:bCs/>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851"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right"/>
              <w:rPr>
                <w:rFonts w:ascii="Times New Roman CYR" w:hAnsi="Times New Roman CYR" w:cs="Times New Roman CYR"/>
                <w:b/>
                <w:bCs/>
                <w:color w:val="000000"/>
              </w:rPr>
            </w:pPr>
            <w:r w:rsidRPr="007A42AD">
              <w:rPr>
                <w:rFonts w:ascii="Times New Roman CYR" w:hAnsi="Times New Roman CYR" w:cs="Times New Roman CYR"/>
                <w:b/>
                <w:bCs/>
                <w:color w:val="000000"/>
              </w:rPr>
              <w:t>2,65</w:t>
            </w:r>
          </w:p>
        </w:tc>
        <w:tc>
          <w:tcPr>
            <w:tcW w:w="850"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right"/>
              <w:rPr>
                <w:rFonts w:ascii="Times New Roman CYR" w:hAnsi="Times New Roman CYR" w:cs="Times New Roman CYR"/>
                <w:b/>
                <w:bCs/>
                <w:color w:val="000000"/>
              </w:rPr>
            </w:pPr>
            <w:r w:rsidRPr="007A42AD">
              <w:rPr>
                <w:rFonts w:ascii="Times New Roman CYR" w:hAnsi="Times New Roman CYR" w:cs="Times New Roman CYR"/>
                <w:b/>
                <w:bCs/>
                <w:color w:val="000000"/>
              </w:rPr>
              <w:t>1,89</w:t>
            </w:r>
          </w:p>
        </w:tc>
        <w:tc>
          <w:tcPr>
            <w:tcW w:w="993"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right"/>
              <w:rPr>
                <w:rFonts w:ascii="Times New Roman CYR" w:hAnsi="Times New Roman CYR" w:cs="Times New Roman CYR"/>
                <w:b/>
                <w:bCs/>
                <w:color w:val="000000"/>
              </w:rPr>
            </w:pPr>
            <w:r w:rsidRPr="007A42AD">
              <w:rPr>
                <w:rFonts w:ascii="Times New Roman CYR" w:hAnsi="Times New Roman CYR" w:cs="Times New Roman CYR"/>
                <w:b/>
                <w:bCs/>
                <w:color w:val="000000"/>
              </w:rPr>
              <w:t>3,51</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right"/>
              <w:rPr>
                <w:rFonts w:ascii="Times New Roman CYR" w:hAnsi="Times New Roman CYR" w:cs="Times New Roman CYR"/>
                <w:b/>
                <w:bCs/>
                <w:color w:val="000000"/>
              </w:rPr>
            </w:pPr>
            <w:r w:rsidRPr="007A42AD">
              <w:rPr>
                <w:rFonts w:ascii="Times New Roman CYR" w:hAnsi="Times New Roman CYR" w:cs="Times New Roman CYR"/>
                <w:b/>
                <w:bCs/>
                <w:color w:val="000000"/>
              </w:rPr>
              <w:t>3,51</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right"/>
              <w:rPr>
                <w:rFonts w:ascii="Times New Roman CYR" w:hAnsi="Times New Roman CYR" w:cs="Times New Roman CYR"/>
                <w:b/>
                <w:bCs/>
                <w:color w:val="000000"/>
              </w:rPr>
            </w:pPr>
            <w:r w:rsidRPr="007A42AD">
              <w:rPr>
                <w:rFonts w:ascii="Times New Roman CYR" w:hAnsi="Times New Roman CYR" w:cs="Times New Roman CYR"/>
                <w:b/>
                <w:bCs/>
                <w:color w:val="000000"/>
              </w:rPr>
              <w:t>3,51</w:t>
            </w:r>
          </w:p>
        </w:tc>
      </w:tr>
    </w:tbl>
    <w:p w:rsidR="00407610" w:rsidRDefault="00407610">
      <w:pPr>
        <w:autoSpaceDE w:val="0"/>
        <w:autoSpaceDN w:val="0"/>
        <w:adjustRightInd w:val="0"/>
        <w:spacing w:after="0" w:line="240" w:lineRule="auto"/>
        <w:ind w:firstLine="708"/>
        <w:jc w:val="both"/>
        <w:rPr>
          <w:rFonts w:ascii="Times New Roman CYR" w:hAnsi="Times New Roman CYR" w:cs="Times New Roman CYR"/>
          <w:color w:val="000000"/>
          <w:sz w:val="24"/>
          <w:szCs w:val="24"/>
        </w:rPr>
      </w:pPr>
    </w:p>
    <w:p w:rsidR="00407610" w:rsidRDefault="007A42AD">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конец отчетного периода 2024 года состояло на учете 106 семей, 2 из них улучшили свои жилищные условия по договору социального найма. </w:t>
      </w:r>
    </w:p>
    <w:p w:rsidR="00407610" w:rsidRDefault="007A42AD">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Показатели улучшения жилищных условий по договору социального найма на территории города Енисейска довольно низкие, в связи с тем, что бюджет дотационный. Город не в состоянии за счет собственных средств вести строительство жилых домов для обеспечения граждан жильем по договору социального найма. Поэтому, по договору социального найма распределяется только вторичное жилье (сданное по договору социального найма или по программе "Север-Юг"). По программе "Север-Юг" ежегодно сдается небольшое количество жилых помещений, часть из которых является непригодным для проживания или требующими ремонта. В 2024 году по программе "Север-Юг" жилые помещения не сдавались.</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VIII. Организация муниципального управления</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31.Доля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jc w:val="both"/>
        <w:rPr>
          <w:rFonts w:ascii="MS Sans Serif" w:hAnsi="MS Sans Serif" w:cs="MS Sans Serif"/>
          <w:sz w:val="16"/>
          <w:szCs w:val="16"/>
        </w:rPr>
      </w:pPr>
      <w:r>
        <w:rPr>
          <w:rFonts w:ascii="Times New Roman CYR" w:hAnsi="Times New Roman CYR" w:cs="Times New Roman CYR"/>
          <w:color w:val="000000"/>
          <w:sz w:val="24"/>
          <w:szCs w:val="24"/>
        </w:rPr>
        <w:tab/>
        <w:t xml:space="preserve">По сравнению с 2023 годом в 2024 году увеличилась сумма поступлений налоговых и неналоговых доходов: в 2023 году 256 773,8 </w:t>
      </w:r>
      <w:proofErr w:type="spellStart"/>
      <w:r>
        <w:rPr>
          <w:rFonts w:ascii="Times New Roman CYR" w:hAnsi="Times New Roman CYR" w:cs="Times New Roman CYR"/>
          <w:color w:val="000000"/>
          <w:sz w:val="24"/>
          <w:szCs w:val="24"/>
        </w:rPr>
        <w:t>тыс</w:t>
      </w:r>
      <w:proofErr w:type="gramStart"/>
      <w:r>
        <w:rPr>
          <w:rFonts w:ascii="Times New Roman CYR" w:hAnsi="Times New Roman CYR" w:cs="Times New Roman CYR"/>
          <w:color w:val="000000"/>
          <w:sz w:val="24"/>
          <w:szCs w:val="24"/>
        </w:rPr>
        <w:t>.р</w:t>
      </w:r>
      <w:proofErr w:type="gramEnd"/>
      <w:r>
        <w:rPr>
          <w:rFonts w:ascii="Times New Roman CYR" w:hAnsi="Times New Roman CYR" w:cs="Times New Roman CYR"/>
          <w:color w:val="000000"/>
          <w:sz w:val="24"/>
          <w:szCs w:val="24"/>
        </w:rPr>
        <w:t>уб</w:t>
      </w:r>
      <w:proofErr w:type="spellEnd"/>
      <w:r>
        <w:rPr>
          <w:rFonts w:ascii="Times New Roman CYR" w:hAnsi="Times New Roman CYR" w:cs="Times New Roman CYR"/>
          <w:color w:val="000000"/>
          <w:sz w:val="24"/>
          <w:szCs w:val="24"/>
        </w:rPr>
        <w:t xml:space="preserve">., в 2024 году 296 609,7 </w:t>
      </w:r>
      <w:proofErr w:type="spellStart"/>
      <w:r>
        <w:rPr>
          <w:rFonts w:ascii="Times New Roman CYR" w:hAnsi="Times New Roman CYR" w:cs="Times New Roman CYR"/>
          <w:color w:val="000000"/>
          <w:sz w:val="24"/>
          <w:szCs w:val="24"/>
        </w:rPr>
        <w:t>тыс.руб</w:t>
      </w:r>
      <w:proofErr w:type="spellEnd"/>
      <w:r>
        <w:rPr>
          <w:rFonts w:ascii="Times New Roman CYR" w:hAnsi="Times New Roman CYR" w:cs="Times New Roman CYR"/>
          <w:color w:val="000000"/>
          <w:sz w:val="24"/>
          <w:szCs w:val="24"/>
        </w:rPr>
        <w:t xml:space="preserve">. Наибольший рост налоговых и неналоговых доходов по сравнению с 2023 годом составили: налог на доходы физических лиц 26119,4 </w:t>
      </w:r>
      <w:proofErr w:type="spellStart"/>
      <w:r>
        <w:rPr>
          <w:rFonts w:ascii="Times New Roman CYR" w:hAnsi="Times New Roman CYR" w:cs="Times New Roman CYR"/>
          <w:color w:val="000000"/>
          <w:sz w:val="24"/>
          <w:szCs w:val="24"/>
        </w:rPr>
        <w:t>тыс.руб</w:t>
      </w:r>
      <w:proofErr w:type="spellEnd"/>
      <w:r>
        <w:rPr>
          <w:rFonts w:ascii="Times New Roman CYR" w:hAnsi="Times New Roman CYR" w:cs="Times New Roman CYR"/>
          <w:color w:val="000000"/>
          <w:sz w:val="24"/>
          <w:szCs w:val="24"/>
        </w:rPr>
        <w:t xml:space="preserve">., доходы от использования имущества 3511,5 </w:t>
      </w:r>
      <w:proofErr w:type="spellStart"/>
      <w:r>
        <w:rPr>
          <w:rFonts w:ascii="Times New Roman CYR" w:hAnsi="Times New Roman CYR" w:cs="Times New Roman CYR"/>
          <w:color w:val="000000"/>
          <w:sz w:val="24"/>
          <w:szCs w:val="24"/>
        </w:rPr>
        <w:t>тыс.руб</w:t>
      </w:r>
      <w:proofErr w:type="spellEnd"/>
      <w:r>
        <w:rPr>
          <w:rFonts w:ascii="Times New Roman CYR" w:hAnsi="Times New Roman CYR" w:cs="Times New Roman CYR"/>
          <w:color w:val="000000"/>
          <w:sz w:val="24"/>
          <w:szCs w:val="24"/>
        </w:rPr>
        <w:t xml:space="preserve">., доходы от продажи материальных и нематериальных активов 1855,2 </w:t>
      </w:r>
      <w:proofErr w:type="spellStart"/>
      <w:r>
        <w:rPr>
          <w:rFonts w:ascii="Times New Roman CYR" w:hAnsi="Times New Roman CYR" w:cs="Times New Roman CYR"/>
          <w:color w:val="000000"/>
          <w:sz w:val="24"/>
          <w:szCs w:val="24"/>
        </w:rPr>
        <w:t>тыс</w:t>
      </w:r>
      <w:proofErr w:type="gramStart"/>
      <w:r>
        <w:rPr>
          <w:rFonts w:ascii="Times New Roman CYR" w:hAnsi="Times New Roman CYR" w:cs="Times New Roman CYR"/>
          <w:color w:val="000000"/>
          <w:sz w:val="24"/>
          <w:szCs w:val="24"/>
        </w:rPr>
        <w:t>.р</w:t>
      </w:r>
      <w:proofErr w:type="gramEnd"/>
      <w:r>
        <w:rPr>
          <w:rFonts w:ascii="Times New Roman CYR" w:hAnsi="Times New Roman CYR" w:cs="Times New Roman CYR"/>
          <w:color w:val="000000"/>
          <w:sz w:val="24"/>
          <w:szCs w:val="24"/>
        </w:rPr>
        <w:t>уб</w:t>
      </w:r>
      <w:proofErr w:type="spellEnd"/>
      <w:r>
        <w:rPr>
          <w:rFonts w:ascii="Times New Roman CYR" w:hAnsi="Times New Roman CYR" w:cs="Times New Roman CYR"/>
          <w:color w:val="000000"/>
          <w:sz w:val="24"/>
          <w:szCs w:val="24"/>
        </w:rPr>
        <w:t>.</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32.Доля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 состоянию на 31.12.2024 на территории города Енисейска одно предприятие МУП г. </w:t>
      </w:r>
      <w:r>
        <w:rPr>
          <w:rFonts w:ascii="Times New Roman CYR" w:hAnsi="Times New Roman CYR" w:cs="Times New Roman CYR"/>
          <w:sz w:val="24"/>
          <w:szCs w:val="24"/>
        </w:rPr>
        <w:lastRenderedPageBreak/>
        <w:t>Енисейска "</w:t>
      </w:r>
      <w:proofErr w:type="spellStart"/>
      <w:r>
        <w:rPr>
          <w:rFonts w:ascii="Times New Roman CYR" w:hAnsi="Times New Roman CYR" w:cs="Times New Roman CYR"/>
          <w:sz w:val="24"/>
          <w:szCs w:val="24"/>
        </w:rPr>
        <w:t>Горкомсервис</w:t>
      </w:r>
      <w:proofErr w:type="spellEnd"/>
      <w:r>
        <w:rPr>
          <w:rFonts w:ascii="Times New Roman CYR" w:hAnsi="Times New Roman CYR" w:cs="Times New Roman CYR"/>
          <w:sz w:val="24"/>
          <w:szCs w:val="24"/>
        </w:rPr>
        <w:t>" находится в стадии конкурсного производства с 22.06.2017 года.</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Ликвидное имущество отсутствует в связи с его реализацией.</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33.Объем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20"/>
        <w:jc w:val="both"/>
        <w:rPr>
          <w:rFonts w:ascii="Times New Roman CYR" w:hAnsi="Times New Roman CYR" w:cs="Times New Roman CYR"/>
          <w:i/>
          <w:iCs/>
          <w:sz w:val="28"/>
          <w:szCs w:val="28"/>
        </w:rPr>
      </w:pPr>
      <w:r>
        <w:rPr>
          <w:rFonts w:ascii="Times New Roman CYR" w:hAnsi="Times New Roman CYR" w:cs="Times New Roman CYR"/>
          <w:color w:val="000000"/>
          <w:sz w:val="26"/>
          <w:szCs w:val="26"/>
        </w:rPr>
        <w:t xml:space="preserve">Объем не завершенного в установленные сроки </w:t>
      </w:r>
      <w:proofErr w:type="gramStart"/>
      <w:r>
        <w:rPr>
          <w:rFonts w:ascii="Times New Roman CYR" w:hAnsi="Times New Roman CYR" w:cs="Times New Roman CYR"/>
          <w:color w:val="000000"/>
          <w:sz w:val="26"/>
          <w:szCs w:val="26"/>
        </w:rPr>
        <w:t xml:space="preserve">строительства, осуществляемого за счет средств бюджета городского округа </w:t>
      </w:r>
      <w:r>
        <w:rPr>
          <w:rFonts w:ascii="Times New Roman CYR" w:hAnsi="Times New Roman CYR" w:cs="Times New Roman CYR"/>
          <w:b/>
          <w:bCs/>
          <w:color w:val="000000"/>
          <w:sz w:val="26"/>
          <w:szCs w:val="26"/>
        </w:rPr>
        <w:t>составляет</w:t>
      </w:r>
      <w:proofErr w:type="gramEnd"/>
      <w:r>
        <w:rPr>
          <w:rFonts w:ascii="Times New Roman CYR" w:hAnsi="Times New Roman CYR" w:cs="Times New Roman CYR"/>
          <w:b/>
          <w:bCs/>
          <w:color w:val="000000"/>
          <w:sz w:val="26"/>
          <w:szCs w:val="26"/>
        </w:rPr>
        <w:t xml:space="preserve"> 0.</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34.Доля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По состоянию на 01.01.2025г. просроченной кредиторской задолженности по оплате труда (включая начисления на оплату труда) муниципальных бюджетных учреждений нет.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35.Расходы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ab/>
        <w:t>Расходы бюджета муниципального образования на содержание работников органов местного самоуправления в расчете на одного жителя города составили за отчетный 2024 год 4 397,13 рублей.</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расходов бюджета муниципального образования на содержание работников органов местного самоуправления в расчете на одного жителя города Енисейска в 2024 году по сравнению с 2023 годом связано с увеличением заработной платы посредством предоставления с 1 января 2024 года ежемесячной выплаты в размере 3 </w:t>
      </w:r>
      <w:proofErr w:type="spellStart"/>
      <w:r>
        <w:rPr>
          <w:rFonts w:ascii="Times New Roman CYR" w:hAnsi="Times New Roman CYR" w:cs="Times New Roman CYR"/>
          <w:sz w:val="24"/>
          <w:szCs w:val="24"/>
        </w:rPr>
        <w:t>тыс</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ублей</w:t>
      </w:r>
      <w:proofErr w:type="spellEnd"/>
      <w:r>
        <w:rPr>
          <w:rFonts w:ascii="Times New Roman CYR" w:hAnsi="Times New Roman CYR" w:cs="Times New Roman CYR"/>
          <w:sz w:val="24"/>
          <w:szCs w:val="24"/>
        </w:rPr>
        <w:t xml:space="preserve"> с начислением сверх нее районного коэффициента и надбавки за работу в особых климатических условиях. Увеличение расходов на содержание работников органов местного самоуправления  в  2025 году связана с индексацией заработной платы с 01.01.2025 года и с предоставлением с 1 января 2025 года ежемесячной выплаты в размере 3,2 </w:t>
      </w:r>
      <w:proofErr w:type="spellStart"/>
      <w:r>
        <w:rPr>
          <w:rFonts w:ascii="Times New Roman CYR" w:hAnsi="Times New Roman CYR" w:cs="Times New Roman CYR"/>
          <w:sz w:val="24"/>
          <w:szCs w:val="24"/>
        </w:rPr>
        <w:t>тыс</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ублей</w:t>
      </w:r>
      <w:proofErr w:type="spellEnd"/>
      <w:r>
        <w:rPr>
          <w:rFonts w:ascii="Times New Roman CYR" w:hAnsi="Times New Roman CYR" w:cs="Times New Roman CYR"/>
          <w:sz w:val="24"/>
          <w:szCs w:val="24"/>
        </w:rPr>
        <w:t xml:space="preserve"> с начислением сверх нее районного коэффициента и надбавки за работу в особых климатических условиях. Уменьшение расходов на содержание работников органов местного самоуправления в расчете на одного жителя города Енисейска в 2026 и 2027 году по сравнению с 2025 годом обусловлено ростом среднегодовой численности населения.</w:t>
      </w: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B5DE2" w:rsidRDefault="006B5DE2">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36.Наличие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настоящее  время город имеет утвержденный Генеральный план, который определяет перспективное развитие до 2038 года (первая очередь реализации до 2028 года).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37.Удовлетворенность населения деятельностью местного самоуправления муниципального, городского округов (муниципального района)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Удовлетворенность населения деятельностью органов местного самоуправления города Енисейска составляет 56,7% от числа опрошенных. Недостаточно высокая степень </w:t>
      </w:r>
      <w:r>
        <w:rPr>
          <w:rFonts w:ascii="Times New Roman CYR" w:hAnsi="Times New Roman CYR" w:cs="Times New Roman CYR"/>
          <w:sz w:val="24"/>
          <w:szCs w:val="24"/>
        </w:rPr>
        <w:lastRenderedPageBreak/>
        <w:t xml:space="preserve">удовлетворенности населения может быть объяснена малым количеством участников голосования на сайте города, по которому подводились итоги данного показателя. Интернет-голосование является достаточно новым явлением для жителей г. Енисейска, где по данным общественных опросов, ориентировочно 50% постоянного населения пользуются сетью Интернет.  </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pPr>
        <w:widowControl w:val="0"/>
        <w:autoSpaceDE w:val="0"/>
        <w:autoSpaceDN w:val="0"/>
        <w:adjustRightInd w:val="0"/>
        <w:spacing w:after="0" w:line="240" w:lineRule="auto"/>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38. Среднегодовая численность постоянного населения</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Среднегодовая численность постоянного населения за 2024 год составила 17 855 человек, по сравнению с 2023 годом численность увеличилась на 0,6% или на 106 человек. За 2024 год естественная убыль составила  -35 человек, а миграционный прирост - +56 человек.</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IX. Энергосбережение и повышение энергетической эффективности</w:t>
      </w:r>
    </w:p>
    <w:p w:rsidR="00407610" w:rsidRPr="006B5DE2" w:rsidRDefault="00407610"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B5DE2">
        <w:rPr>
          <w:rFonts w:ascii="Times New Roman CYR" w:hAnsi="Times New Roman CYR" w:cs="Times New Roman CYR"/>
          <w:b/>
          <w:bCs/>
          <w:color w:val="000000"/>
          <w:sz w:val="24"/>
          <w:szCs w:val="24"/>
        </w:rPr>
        <w:t>39. Удельная величина потребления энергетических ресурсов (электрическая и тепловая энергия, вода, природный газ) в многоквартирных домах</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rPr>
      </w:pPr>
    </w:p>
    <w:p w:rsidR="00407610" w:rsidRDefault="007A42AD">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Удельная величина потребления энергетических ресурсов в многоквартирных домах продолжает ежегодно снижаться. Снижение потребления холодной воды обусловлено установкой общедомовых и индивидуальных приборов учета потребления коммунальных ресурсов. Фактическое оснащение жилых помещений в многоквартирных домах индивидуальными приборами учета холодной воды в 2024 году составило - 91 %. </w:t>
      </w:r>
    </w:p>
    <w:p w:rsidR="00407610" w:rsidRDefault="007A42AD">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r>
        <w:rPr>
          <w:rFonts w:ascii="Times New Roman CYR" w:hAnsi="Times New Roman CYR" w:cs="Times New Roman CYR"/>
          <w:sz w:val="24"/>
          <w:szCs w:val="24"/>
        </w:rPr>
        <w:t>Расчет удельной величины потребления энергетических ресурсов в многоквартирных домах проведен в соответствии с данными формы статистического наблюдения 22-ЖКХ (реформа) и «Расчет стандартов стоимости ЖКУ»:</w:t>
      </w:r>
    </w:p>
    <w:p w:rsidR="00407610" w:rsidRDefault="00407610">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685"/>
        <w:gridCol w:w="3686"/>
      </w:tblGrid>
      <w:tr w:rsidR="00407610" w:rsidRPr="007A42AD">
        <w:tc>
          <w:tcPr>
            <w:tcW w:w="2552" w:type="dxa"/>
            <w:tcBorders>
              <w:top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jc w:val="center"/>
              <w:rPr>
                <w:rFonts w:ascii="Times New Roman CYR" w:hAnsi="Times New Roman CYR" w:cs="Times New Roman CYR"/>
                <w:sz w:val="20"/>
                <w:szCs w:val="20"/>
              </w:rPr>
            </w:pPr>
            <w:r w:rsidRPr="007A42AD">
              <w:rPr>
                <w:rFonts w:ascii="Times New Roman CYR" w:hAnsi="Times New Roman CYR" w:cs="Times New Roman CYR"/>
                <w:sz w:val="20"/>
                <w:szCs w:val="20"/>
              </w:rPr>
              <w:t xml:space="preserve">Наименование </w:t>
            </w:r>
          </w:p>
          <w:p w:rsidR="00407610" w:rsidRPr="007A42AD" w:rsidRDefault="007A42AD">
            <w:pPr>
              <w:widowControl w:val="0"/>
              <w:autoSpaceDE w:val="0"/>
              <w:autoSpaceDN w:val="0"/>
              <w:adjustRightInd w:val="0"/>
              <w:spacing w:after="0" w:line="240" w:lineRule="auto"/>
              <w:ind w:right="-3"/>
              <w:jc w:val="center"/>
              <w:rPr>
                <w:rFonts w:ascii="Times New Roman CYR" w:hAnsi="Times New Roman CYR" w:cs="Times New Roman CYR"/>
                <w:sz w:val="20"/>
                <w:szCs w:val="20"/>
              </w:rPr>
            </w:pPr>
            <w:r w:rsidRPr="007A42AD">
              <w:rPr>
                <w:rFonts w:ascii="Times New Roman CYR" w:hAnsi="Times New Roman CYR" w:cs="Times New Roman CYR"/>
                <w:sz w:val="20"/>
                <w:szCs w:val="20"/>
              </w:rPr>
              <w:t>показателя</w:t>
            </w:r>
          </w:p>
        </w:tc>
        <w:tc>
          <w:tcPr>
            <w:tcW w:w="3685" w:type="dxa"/>
            <w:tcBorders>
              <w:top w:val="single" w:sz="4" w:space="0" w:color="auto"/>
              <w:left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jc w:val="center"/>
              <w:rPr>
                <w:rFonts w:ascii="Times New Roman CYR" w:hAnsi="Times New Roman CYR" w:cs="Times New Roman CYR"/>
                <w:sz w:val="20"/>
                <w:szCs w:val="20"/>
              </w:rPr>
            </w:pPr>
            <w:r w:rsidRPr="007A42AD">
              <w:rPr>
                <w:rFonts w:ascii="Times New Roman CYR" w:hAnsi="Times New Roman CYR" w:cs="Times New Roman CYR"/>
                <w:sz w:val="20"/>
                <w:szCs w:val="20"/>
              </w:rPr>
              <w:t>Средневзвешенные нормативы потребления в месяц</w:t>
            </w:r>
          </w:p>
        </w:tc>
        <w:tc>
          <w:tcPr>
            <w:tcW w:w="3686" w:type="dxa"/>
            <w:tcBorders>
              <w:top w:val="single" w:sz="4" w:space="0" w:color="auto"/>
              <w:left w:val="single" w:sz="4" w:space="0" w:color="auto"/>
              <w:bottom w:val="single" w:sz="4" w:space="0" w:color="auto"/>
            </w:tcBorders>
          </w:tcPr>
          <w:p w:rsidR="00407610" w:rsidRPr="007A42AD" w:rsidRDefault="007A42AD">
            <w:pPr>
              <w:widowControl w:val="0"/>
              <w:autoSpaceDE w:val="0"/>
              <w:autoSpaceDN w:val="0"/>
              <w:adjustRightInd w:val="0"/>
              <w:spacing w:after="0" w:line="240" w:lineRule="auto"/>
              <w:ind w:right="-3" w:firstLine="34"/>
              <w:jc w:val="center"/>
              <w:rPr>
                <w:rFonts w:ascii="Times New Roman CYR" w:hAnsi="Times New Roman CYR" w:cs="Times New Roman CYR"/>
                <w:sz w:val="20"/>
                <w:szCs w:val="20"/>
              </w:rPr>
            </w:pPr>
            <w:r w:rsidRPr="007A42AD">
              <w:rPr>
                <w:rFonts w:ascii="Times New Roman CYR" w:hAnsi="Times New Roman CYR" w:cs="Times New Roman CYR"/>
                <w:sz w:val="20"/>
                <w:szCs w:val="20"/>
              </w:rPr>
              <w:t xml:space="preserve">Удельная величина потребления </w:t>
            </w:r>
          </w:p>
          <w:p w:rsidR="00407610" w:rsidRPr="007A42AD" w:rsidRDefault="007A42AD">
            <w:pPr>
              <w:widowControl w:val="0"/>
              <w:autoSpaceDE w:val="0"/>
              <w:autoSpaceDN w:val="0"/>
              <w:adjustRightInd w:val="0"/>
              <w:spacing w:after="0" w:line="240" w:lineRule="auto"/>
              <w:ind w:right="-3" w:firstLine="34"/>
              <w:jc w:val="center"/>
              <w:rPr>
                <w:rFonts w:ascii="Times New Roman CYR" w:hAnsi="Times New Roman CYR" w:cs="Times New Roman CYR"/>
                <w:sz w:val="20"/>
                <w:szCs w:val="20"/>
              </w:rPr>
            </w:pPr>
            <w:r w:rsidRPr="007A42AD">
              <w:rPr>
                <w:rFonts w:ascii="Times New Roman CYR" w:hAnsi="Times New Roman CYR" w:cs="Times New Roman CYR"/>
                <w:sz w:val="20"/>
                <w:szCs w:val="20"/>
              </w:rPr>
              <w:t>за 2024 год</w:t>
            </w:r>
          </w:p>
        </w:tc>
      </w:tr>
      <w:tr w:rsidR="00407610" w:rsidRPr="007A42AD">
        <w:tc>
          <w:tcPr>
            <w:tcW w:w="2552" w:type="dxa"/>
            <w:tcBorders>
              <w:top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Электрическая энергия</w:t>
            </w:r>
          </w:p>
        </w:tc>
        <w:tc>
          <w:tcPr>
            <w:tcW w:w="3685" w:type="dxa"/>
            <w:tcBorders>
              <w:top w:val="single" w:sz="4" w:space="0" w:color="auto"/>
              <w:left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7A42AD">
              <w:rPr>
                <w:rFonts w:ascii="Times New Roman CYR" w:hAnsi="Times New Roman CYR" w:cs="Times New Roman CYR"/>
                <w:sz w:val="20"/>
                <w:szCs w:val="20"/>
              </w:rPr>
              <w:t>116,06 квт/ч. на 1 чел.</w:t>
            </w:r>
          </w:p>
        </w:tc>
        <w:tc>
          <w:tcPr>
            <w:tcW w:w="3686" w:type="dxa"/>
            <w:tcBorders>
              <w:top w:val="single" w:sz="4" w:space="0" w:color="auto"/>
              <w:left w:val="single" w:sz="4" w:space="0" w:color="auto"/>
              <w:bottom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1392,72 квт/ч. на 1 чел.</w:t>
            </w:r>
          </w:p>
        </w:tc>
      </w:tr>
      <w:tr w:rsidR="00407610" w:rsidRPr="007A42AD">
        <w:tc>
          <w:tcPr>
            <w:tcW w:w="2552" w:type="dxa"/>
            <w:tcBorders>
              <w:top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Тепловая энергия</w:t>
            </w:r>
          </w:p>
        </w:tc>
        <w:tc>
          <w:tcPr>
            <w:tcW w:w="3685" w:type="dxa"/>
            <w:tcBorders>
              <w:top w:val="single" w:sz="4" w:space="0" w:color="auto"/>
              <w:left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7A42AD">
              <w:rPr>
                <w:rFonts w:ascii="Times New Roman CYR" w:hAnsi="Times New Roman CYR" w:cs="Times New Roman CYR"/>
                <w:sz w:val="20"/>
                <w:szCs w:val="20"/>
              </w:rPr>
              <w:t>0,0158 Гкал/</w:t>
            </w:r>
            <w:proofErr w:type="spellStart"/>
            <w:r w:rsidRPr="007A42AD">
              <w:rPr>
                <w:rFonts w:ascii="Times New Roman CYR" w:hAnsi="Times New Roman CYR" w:cs="Times New Roman CYR"/>
                <w:sz w:val="20"/>
                <w:szCs w:val="20"/>
              </w:rPr>
              <w:t>кв.м</w:t>
            </w:r>
            <w:proofErr w:type="spellEnd"/>
            <w:r w:rsidRPr="007A42AD">
              <w:rPr>
                <w:rFonts w:ascii="Times New Roman CYR" w:hAnsi="Times New Roman CYR" w:cs="Times New Roman CYR"/>
                <w:sz w:val="20"/>
                <w:szCs w:val="20"/>
              </w:rPr>
              <w:t>.</w:t>
            </w:r>
          </w:p>
        </w:tc>
        <w:tc>
          <w:tcPr>
            <w:tcW w:w="3686" w:type="dxa"/>
            <w:tcBorders>
              <w:top w:val="single" w:sz="4" w:space="0" w:color="auto"/>
              <w:left w:val="single" w:sz="4" w:space="0" w:color="auto"/>
              <w:bottom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0,19 Гкал/</w:t>
            </w:r>
            <w:proofErr w:type="spellStart"/>
            <w:r w:rsidRPr="007A42AD">
              <w:rPr>
                <w:rFonts w:ascii="Times New Roman CYR" w:hAnsi="Times New Roman CYR" w:cs="Times New Roman CYR"/>
                <w:sz w:val="20"/>
                <w:szCs w:val="20"/>
              </w:rPr>
              <w:t>кв.м</w:t>
            </w:r>
            <w:proofErr w:type="spellEnd"/>
            <w:r w:rsidRPr="007A42AD">
              <w:rPr>
                <w:rFonts w:ascii="Times New Roman CYR" w:hAnsi="Times New Roman CYR" w:cs="Times New Roman CYR"/>
                <w:sz w:val="20"/>
                <w:szCs w:val="20"/>
              </w:rPr>
              <w:t>.</w:t>
            </w:r>
          </w:p>
        </w:tc>
      </w:tr>
      <w:tr w:rsidR="00407610" w:rsidRPr="007A42AD">
        <w:tc>
          <w:tcPr>
            <w:tcW w:w="2552" w:type="dxa"/>
            <w:tcBorders>
              <w:top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Горячая вода</w:t>
            </w:r>
          </w:p>
        </w:tc>
        <w:tc>
          <w:tcPr>
            <w:tcW w:w="3685" w:type="dxa"/>
            <w:tcBorders>
              <w:top w:val="single" w:sz="4" w:space="0" w:color="auto"/>
              <w:left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7A42AD">
              <w:rPr>
                <w:rFonts w:ascii="Times New Roman CYR" w:hAnsi="Times New Roman CYR" w:cs="Times New Roman CYR"/>
                <w:sz w:val="20"/>
                <w:szCs w:val="20"/>
              </w:rPr>
              <w:t>0,67 куб./м на 1 проживающего</w:t>
            </w:r>
          </w:p>
        </w:tc>
        <w:tc>
          <w:tcPr>
            <w:tcW w:w="3686" w:type="dxa"/>
            <w:tcBorders>
              <w:top w:val="single" w:sz="4" w:space="0" w:color="auto"/>
              <w:left w:val="single" w:sz="4" w:space="0" w:color="auto"/>
              <w:bottom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8,06 куб./м на 1 проживающего</w:t>
            </w:r>
          </w:p>
        </w:tc>
      </w:tr>
      <w:tr w:rsidR="00407610" w:rsidRPr="007A42AD">
        <w:tc>
          <w:tcPr>
            <w:tcW w:w="2552" w:type="dxa"/>
            <w:tcBorders>
              <w:top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Холодная вода</w:t>
            </w:r>
          </w:p>
        </w:tc>
        <w:tc>
          <w:tcPr>
            <w:tcW w:w="3685" w:type="dxa"/>
            <w:tcBorders>
              <w:top w:val="single" w:sz="4" w:space="0" w:color="auto"/>
              <w:left w:val="single" w:sz="4" w:space="0" w:color="auto"/>
              <w:bottom w:val="single" w:sz="4" w:space="0" w:color="auto"/>
              <w:right w:val="single" w:sz="4" w:space="0" w:color="auto"/>
            </w:tcBorders>
          </w:tcPr>
          <w:p w:rsidR="00407610" w:rsidRPr="007A42AD" w:rsidRDefault="007A42AD">
            <w:pPr>
              <w:widowControl w:val="0"/>
              <w:autoSpaceDE w:val="0"/>
              <w:autoSpaceDN w:val="0"/>
              <w:adjustRightInd w:val="0"/>
              <w:spacing w:after="0" w:line="240" w:lineRule="auto"/>
              <w:ind w:right="-3" w:firstLine="34"/>
              <w:jc w:val="both"/>
              <w:rPr>
                <w:rFonts w:ascii="Times New Roman CYR" w:hAnsi="Times New Roman CYR" w:cs="Times New Roman CYR"/>
                <w:sz w:val="20"/>
                <w:szCs w:val="20"/>
              </w:rPr>
            </w:pPr>
            <w:r w:rsidRPr="007A42AD">
              <w:rPr>
                <w:rFonts w:ascii="Times New Roman CYR" w:hAnsi="Times New Roman CYR" w:cs="Times New Roman CYR"/>
                <w:sz w:val="20"/>
                <w:szCs w:val="20"/>
              </w:rPr>
              <w:t>1,6 куб./м на 1 проживающего</w:t>
            </w:r>
          </w:p>
        </w:tc>
        <w:tc>
          <w:tcPr>
            <w:tcW w:w="3686" w:type="dxa"/>
            <w:tcBorders>
              <w:top w:val="single" w:sz="4" w:space="0" w:color="auto"/>
              <w:left w:val="single" w:sz="4" w:space="0" w:color="auto"/>
              <w:bottom w:val="single" w:sz="4" w:space="0" w:color="auto"/>
            </w:tcBorders>
          </w:tcPr>
          <w:p w:rsidR="00407610" w:rsidRPr="007A42AD" w:rsidRDefault="007A42AD">
            <w:pPr>
              <w:widowControl w:val="0"/>
              <w:autoSpaceDE w:val="0"/>
              <w:autoSpaceDN w:val="0"/>
              <w:adjustRightInd w:val="0"/>
              <w:spacing w:after="0" w:line="240" w:lineRule="auto"/>
              <w:ind w:right="-3"/>
              <w:jc w:val="both"/>
              <w:rPr>
                <w:rFonts w:ascii="Times New Roman CYR" w:hAnsi="Times New Roman CYR" w:cs="Times New Roman CYR"/>
                <w:sz w:val="20"/>
                <w:szCs w:val="20"/>
              </w:rPr>
            </w:pPr>
            <w:r w:rsidRPr="007A42AD">
              <w:rPr>
                <w:rFonts w:ascii="Times New Roman CYR" w:hAnsi="Times New Roman CYR" w:cs="Times New Roman CYR"/>
                <w:sz w:val="20"/>
                <w:szCs w:val="20"/>
              </w:rPr>
              <w:t>19,27 куб./м на 1 проживающего</w:t>
            </w:r>
          </w:p>
        </w:tc>
      </w:tr>
    </w:tbl>
    <w:p w:rsidR="00407610" w:rsidRDefault="00407610">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p>
    <w:p w:rsidR="00407610" w:rsidRDefault="00407610">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p>
    <w:tbl>
      <w:tblPr>
        <w:tblW w:w="0" w:type="auto"/>
        <w:tblInd w:w="93" w:type="dxa"/>
        <w:tblLayout w:type="fixed"/>
        <w:tblLook w:val="0000" w:firstRow="0" w:lastRow="0" w:firstColumn="0" w:lastColumn="0" w:noHBand="0" w:noVBand="0"/>
      </w:tblPr>
      <w:tblGrid>
        <w:gridCol w:w="4480"/>
        <w:gridCol w:w="922"/>
        <w:gridCol w:w="1134"/>
        <w:gridCol w:w="992"/>
        <w:gridCol w:w="1134"/>
        <w:gridCol w:w="992"/>
      </w:tblGrid>
      <w:tr w:rsidR="00407610" w:rsidRPr="007A42AD">
        <w:trPr>
          <w:trHeight w:val="300"/>
        </w:trPr>
        <w:tc>
          <w:tcPr>
            <w:tcW w:w="4480" w:type="dxa"/>
            <w:vMerge w:val="restart"/>
            <w:tcBorders>
              <w:top w:val="single" w:sz="4" w:space="0" w:color="auto"/>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Наименование показателя и единицы измерения</w:t>
            </w:r>
          </w:p>
        </w:tc>
        <w:tc>
          <w:tcPr>
            <w:tcW w:w="5174" w:type="dxa"/>
            <w:gridSpan w:val="5"/>
            <w:tcBorders>
              <w:top w:val="single" w:sz="4" w:space="0" w:color="auto"/>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Значения показателя</w:t>
            </w:r>
          </w:p>
        </w:tc>
      </w:tr>
      <w:tr w:rsidR="00407610" w:rsidRPr="007A42AD">
        <w:trPr>
          <w:trHeight w:val="698"/>
        </w:trPr>
        <w:tc>
          <w:tcPr>
            <w:tcW w:w="4480" w:type="dxa"/>
            <w:vMerge/>
            <w:tcBorders>
              <w:top w:val="single" w:sz="4" w:space="0" w:color="auto"/>
              <w:left w:val="single" w:sz="4" w:space="0" w:color="auto"/>
              <w:bottom w:val="single" w:sz="4" w:space="0" w:color="auto"/>
              <w:right w:val="single" w:sz="4" w:space="0" w:color="auto"/>
            </w:tcBorders>
            <w:vAlign w:val="center"/>
          </w:tcPr>
          <w:p w:rsidR="00407610" w:rsidRPr="007A42AD" w:rsidRDefault="00407610">
            <w:pPr>
              <w:autoSpaceDE w:val="0"/>
              <w:autoSpaceDN w:val="0"/>
              <w:adjustRightInd w:val="0"/>
              <w:spacing w:after="0" w:line="240" w:lineRule="auto"/>
              <w:rPr>
                <w:rFonts w:ascii="Times New Roman CYR" w:hAnsi="Times New Roman CYR" w:cs="Times New Roman CYR"/>
                <w:color w:val="000000"/>
                <w:sz w:val="20"/>
                <w:szCs w:val="20"/>
              </w:rPr>
            </w:pPr>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2023 факт</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2024 факт</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2025 оценка</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2026 прогноз</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2027 прогноз</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 xml:space="preserve">39.1. Потребление электрической энергии, </w:t>
            </w:r>
            <w:proofErr w:type="spellStart"/>
            <w:r w:rsidRPr="007A42AD">
              <w:rPr>
                <w:rFonts w:ascii="Times New Roman CYR" w:hAnsi="Times New Roman CYR" w:cs="Times New Roman CYR"/>
                <w:b/>
                <w:bCs/>
                <w:color w:val="000000"/>
                <w:sz w:val="20"/>
                <w:szCs w:val="20"/>
              </w:rPr>
              <w:t>кВт·</w:t>
            </w:r>
            <w:proofErr w:type="gramStart"/>
            <w:r w:rsidRPr="007A42AD">
              <w:rPr>
                <w:rFonts w:ascii="Times New Roman CYR" w:hAnsi="Times New Roman CYR" w:cs="Times New Roman CYR"/>
                <w:b/>
                <w:bCs/>
                <w:color w:val="000000"/>
                <w:sz w:val="20"/>
                <w:szCs w:val="20"/>
              </w:rPr>
              <w:t>ч</w:t>
            </w:r>
            <w:proofErr w:type="spellEnd"/>
            <w:proofErr w:type="gramEnd"/>
            <w:r w:rsidRPr="007A42AD">
              <w:rPr>
                <w:rFonts w:ascii="Times New Roman CYR" w:hAnsi="Times New Roman CYR" w:cs="Times New Roman CYR"/>
                <w:b/>
                <w:bCs/>
                <w:color w:val="000000"/>
                <w:sz w:val="20"/>
                <w:szCs w:val="20"/>
              </w:rPr>
              <w:t xml:space="preserve"> на 1 проживающего</w:t>
            </w:r>
          </w:p>
        </w:tc>
        <w:tc>
          <w:tcPr>
            <w:tcW w:w="92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1 398,45</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1 392,72</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1 392,72</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1 392,72</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1 392,72</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 xml:space="preserve">объем потребления электрической энергии в многоквартирных домах, </w:t>
            </w:r>
            <w:proofErr w:type="spellStart"/>
            <w:r w:rsidRPr="007A42AD">
              <w:rPr>
                <w:rFonts w:ascii="Times New Roman CYR" w:hAnsi="Times New Roman CYR" w:cs="Times New Roman CYR"/>
                <w:color w:val="000000"/>
                <w:sz w:val="20"/>
                <w:szCs w:val="20"/>
              </w:rPr>
              <w:t>кВтч</w:t>
            </w:r>
            <w:proofErr w:type="spellEnd"/>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14 300 500,00</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14 300 500,00</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14 300 500,00</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14 300 500,00</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14 300 500,00</w:t>
            </w:r>
          </w:p>
        </w:tc>
      </w:tr>
      <w:tr w:rsidR="00407610" w:rsidRPr="007A42AD">
        <w:trPr>
          <w:trHeight w:val="829"/>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число проживающих в многоквартирных домах, которым отпущен соответствующий энергетический ресурс, чел.</w:t>
            </w:r>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10 226</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39.2. Потребление тепловой энергии, Гкал на 1 кв. метр общей площади</w:t>
            </w:r>
          </w:p>
        </w:tc>
        <w:tc>
          <w:tcPr>
            <w:tcW w:w="92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0,19</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0,19</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0,19</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0,19</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0,19</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объем потребленной тепловой энергии в многоквартирных домах, Гкал</w:t>
            </w:r>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60 325,37</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60 496,66</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60 496,66</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60 496,66</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60 496,66</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lastRenderedPageBreak/>
              <w:t xml:space="preserve">общая площадь жилых помещений в многоквартирных домах,  </w:t>
            </w:r>
            <w:proofErr w:type="spellStart"/>
            <w:r w:rsidRPr="007A42AD">
              <w:rPr>
                <w:rFonts w:ascii="Times New Roman CYR" w:hAnsi="Times New Roman CYR" w:cs="Times New Roman CYR"/>
                <w:color w:val="000000"/>
                <w:sz w:val="20"/>
                <w:szCs w:val="20"/>
              </w:rPr>
              <w:t>кв</w:t>
            </w:r>
            <w:proofErr w:type="gramStart"/>
            <w:r w:rsidRPr="007A42AD">
              <w:rPr>
                <w:rFonts w:ascii="Times New Roman CYR" w:hAnsi="Times New Roman CYR" w:cs="Times New Roman CYR"/>
                <w:color w:val="000000"/>
                <w:sz w:val="20"/>
                <w:szCs w:val="20"/>
              </w:rPr>
              <w:t>.м</w:t>
            </w:r>
            <w:proofErr w:type="spellEnd"/>
            <w:proofErr w:type="gramEnd"/>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316 263,60</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316 057,30</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316 057,30</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316 057,30</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316 057,30</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 xml:space="preserve">39.3. Потребление горячей воды, куб. метров на 1 </w:t>
            </w:r>
            <w:proofErr w:type="gramStart"/>
            <w:r w:rsidRPr="007A42AD">
              <w:rPr>
                <w:rFonts w:ascii="Times New Roman CYR" w:hAnsi="Times New Roman CYR" w:cs="Times New Roman CYR"/>
                <w:b/>
                <w:bCs/>
                <w:color w:val="000000"/>
                <w:sz w:val="20"/>
                <w:szCs w:val="20"/>
              </w:rPr>
              <w:t>проживающего</w:t>
            </w:r>
            <w:proofErr w:type="gramEnd"/>
          </w:p>
        </w:tc>
        <w:tc>
          <w:tcPr>
            <w:tcW w:w="92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7,86</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8,06</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8,06</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8,06</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8,06</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 xml:space="preserve">объем потребления горячей воды в многоквартирных домах, </w:t>
            </w:r>
            <w:proofErr w:type="spellStart"/>
            <w:r w:rsidRPr="007A42AD">
              <w:rPr>
                <w:rFonts w:ascii="Times New Roman CYR" w:hAnsi="Times New Roman CYR" w:cs="Times New Roman CYR"/>
                <w:color w:val="000000"/>
                <w:sz w:val="20"/>
                <w:szCs w:val="20"/>
              </w:rPr>
              <w:t>куб</w:t>
            </w:r>
            <w:proofErr w:type="gramStart"/>
            <w:r w:rsidRPr="007A42AD">
              <w:rPr>
                <w:rFonts w:ascii="Times New Roman CYR" w:hAnsi="Times New Roman CYR" w:cs="Times New Roman CYR"/>
                <w:color w:val="000000"/>
                <w:sz w:val="20"/>
                <w:szCs w:val="20"/>
              </w:rPr>
              <w:t>.м</w:t>
            </w:r>
            <w:proofErr w:type="spellEnd"/>
            <w:proofErr w:type="gramEnd"/>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31 807,18</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32 929,42</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32 929,42</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32 929,42</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32 929,42</w:t>
            </w:r>
          </w:p>
        </w:tc>
      </w:tr>
      <w:tr w:rsidR="00407610" w:rsidRPr="007A42AD">
        <w:trPr>
          <w:trHeight w:val="912"/>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число проживающих в многоквартирных домах, которым отпущен соответствующий энергетический ресурс, чел.</w:t>
            </w:r>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4 045</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4 087</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4 087</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4 087</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4 087</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 xml:space="preserve">39.4. Потребление холодной воды, куб. метров на 1 </w:t>
            </w:r>
            <w:proofErr w:type="gramStart"/>
            <w:r w:rsidRPr="007A42AD">
              <w:rPr>
                <w:rFonts w:ascii="Times New Roman CYR" w:hAnsi="Times New Roman CYR" w:cs="Times New Roman CYR"/>
                <w:b/>
                <w:bCs/>
                <w:color w:val="000000"/>
                <w:sz w:val="20"/>
                <w:szCs w:val="20"/>
              </w:rPr>
              <w:t>проживающего</w:t>
            </w:r>
            <w:proofErr w:type="gramEnd"/>
          </w:p>
        </w:tc>
        <w:tc>
          <w:tcPr>
            <w:tcW w:w="92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19,43</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19,27</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19,27</w:t>
            </w:r>
          </w:p>
        </w:tc>
        <w:tc>
          <w:tcPr>
            <w:tcW w:w="1134"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19,27</w:t>
            </w:r>
          </w:p>
        </w:tc>
        <w:tc>
          <w:tcPr>
            <w:tcW w:w="992" w:type="dxa"/>
            <w:tcBorders>
              <w:top w:val="nil"/>
              <w:left w:val="nil"/>
              <w:bottom w:val="single" w:sz="4" w:space="0" w:color="auto"/>
              <w:right w:val="single" w:sz="4" w:space="0" w:color="auto"/>
            </w:tcBorders>
            <w:shd w:val="clear" w:color="000000" w:fill="D9D9D9"/>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7A42AD">
              <w:rPr>
                <w:rFonts w:ascii="Times New Roman CYR" w:hAnsi="Times New Roman CYR" w:cs="Times New Roman CYR"/>
                <w:b/>
                <w:bCs/>
                <w:color w:val="000000"/>
                <w:sz w:val="20"/>
                <w:szCs w:val="20"/>
              </w:rPr>
              <w:t>19,27</w:t>
            </w:r>
          </w:p>
        </w:tc>
      </w:tr>
      <w:tr w:rsidR="00407610" w:rsidRPr="007A42AD">
        <w:trPr>
          <w:trHeight w:val="51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 xml:space="preserve">объем потребления холодной воды в многоквартирных домах, </w:t>
            </w:r>
            <w:proofErr w:type="spellStart"/>
            <w:r w:rsidRPr="007A42AD">
              <w:rPr>
                <w:rFonts w:ascii="Times New Roman CYR" w:hAnsi="Times New Roman CYR" w:cs="Times New Roman CYR"/>
                <w:color w:val="000000"/>
                <w:sz w:val="20"/>
                <w:szCs w:val="20"/>
              </w:rPr>
              <w:t>куб</w:t>
            </w:r>
            <w:proofErr w:type="gramStart"/>
            <w:r w:rsidRPr="007A42AD">
              <w:rPr>
                <w:rFonts w:ascii="Times New Roman CYR" w:hAnsi="Times New Roman CYR" w:cs="Times New Roman CYR"/>
                <w:color w:val="000000"/>
                <w:sz w:val="20"/>
                <w:szCs w:val="20"/>
              </w:rPr>
              <w:t>.м</w:t>
            </w:r>
            <w:proofErr w:type="spellEnd"/>
            <w:proofErr w:type="gramEnd"/>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198 672,00</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197 867,46</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197 867,46</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197 867,46</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197 867,46</w:t>
            </w:r>
          </w:p>
        </w:tc>
      </w:tr>
      <w:tr w:rsidR="00407610" w:rsidRPr="007A42AD">
        <w:trPr>
          <w:trHeight w:val="870"/>
        </w:trPr>
        <w:tc>
          <w:tcPr>
            <w:tcW w:w="4480" w:type="dxa"/>
            <w:tcBorders>
              <w:top w:val="nil"/>
              <w:left w:val="single" w:sz="4" w:space="0" w:color="auto"/>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число проживающих в многоквартирных домах, которым отпущен соответствующий энергетический ресурс, чел.</w:t>
            </w:r>
          </w:p>
        </w:tc>
        <w:tc>
          <w:tcPr>
            <w:tcW w:w="92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10 226</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c>
          <w:tcPr>
            <w:tcW w:w="1134"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c>
          <w:tcPr>
            <w:tcW w:w="992" w:type="dxa"/>
            <w:tcBorders>
              <w:top w:val="nil"/>
              <w:left w:val="nil"/>
              <w:bottom w:val="single" w:sz="4" w:space="0" w:color="auto"/>
              <w:right w:val="single" w:sz="4" w:space="0" w:color="auto"/>
            </w:tcBorders>
            <w:vAlign w:val="center"/>
          </w:tcPr>
          <w:p w:rsidR="00407610" w:rsidRPr="007A42AD" w:rsidRDefault="007A42AD">
            <w:pPr>
              <w:autoSpaceDE w:val="0"/>
              <w:autoSpaceDN w:val="0"/>
              <w:adjustRightInd w:val="0"/>
              <w:spacing w:after="0" w:line="240" w:lineRule="auto"/>
              <w:jc w:val="center"/>
              <w:rPr>
                <w:rFonts w:ascii="Times New Roman CYR" w:hAnsi="Times New Roman CYR" w:cs="Times New Roman CYR"/>
                <w:color w:val="000000"/>
                <w:sz w:val="20"/>
                <w:szCs w:val="20"/>
              </w:rPr>
            </w:pPr>
            <w:r w:rsidRPr="007A42AD">
              <w:rPr>
                <w:rFonts w:ascii="Times New Roman CYR" w:hAnsi="Times New Roman CYR" w:cs="Times New Roman CYR"/>
                <w:color w:val="000000"/>
                <w:sz w:val="20"/>
                <w:szCs w:val="20"/>
              </w:rPr>
              <w:t>10 268</w:t>
            </w:r>
          </w:p>
        </w:tc>
      </w:tr>
    </w:tbl>
    <w:p w:rsidR="00407610" w:rsidRDefault="00407610">
      <w:pPr>
        <w:widowControl w:val="0"/>
        <w:autoSpaceDE w:val="0"/>
        <w:autoSpaceDN w:val="0"/>
        <w:adjustRightInd w:val="0"/>
        <w:spacing w:after="0" w:line="240" w:lineRule="auto"/>
        <w:ind w:right="-3" w:firstLine="568"/>
        <w:jc w:val="both"/>
        <w:rPr>
          <w:rFonts w:ascii="Times New Roman CYR" w:hAnsi="Times New Roman CYR" w:cs="Times New Roman CYR"/>
          <w:sz w:val="24"/>
          <w:szCs w:val="24"/>
        </w:rPr>
      </w:pP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Показатель по электроэнергии (39.1) в 2024 году рассчитан на уровне данных об объеме 2023 года, в связи с </w:t>
      </w:r>
      <w:proofErr w:type="gramStart"/>
      <w:r>
        <w:rPr>
          <w:rFonts w:ascii="Times New Roman CYR" w:hAnsi="Times New Roman CYR" w:cs="Times New Roman CYR"/>
          <w:sz w:val="24"/>
          <w:szCs w:val="24"/>
          <w:u w:color="FF0000"/>
        </w:rPr>
        <w:t>тем</w:t>
      </w:r>
      <w:proofErr w:type="gramEnd"/>
      <w:r>
        <w:rPr>
          <w:rFonts w:ascii="Times New Roman CYR" w:hAnsi="Times New Roman CYR" w:cs="Times New Roman CYR"/>
          <w:sz w:val="24"/>
          <w:szCs w:val="24"/>
          <w:u w:color="FF0000"/>
        </w:rPr>
        <w:t xml:space="preserve"> что информацию об объеме отпуска электрической энергии не представляется возможным запросить, так как в компетенцию гарантирующего поставщика не входит предоставление данной информации для МО. На период 2025-2027 годов показатель останется на уровне 2024года. Изменение произошло в связи с увеличением количества </w:t>
      </w:r>
      <w:proofErr w:type="gramStart"/>
      <w:r>
        <w:rPr>
          <w:rFonts w:ascii="Times New Roman CYR" w:hAnsi="Times New Roman CYR" w:cs="Times New Roman CYR"/>
          <w:sz w:val="24"/>
          <w:szCs w:val="24"/>
          <w:u w:color="FF0000"/>
        </w:rPr>
        <w:t>проживающих</w:t>
      </w:r>
      <w:proofErr w:type="gramEnd"/>
      <w:r>
        <w:rPr>
          <w:rFonts w:ascii="Times New Roman CYR" w:hAnsi="Times New Roman CYR" w:cs="Times New Roman CYR"/>
          <w:sz w:val="24"/>
          <w:szCs w:val="24"/>
          <w:u w:color="FF0000"/>
        </w:rPr>
        <w:t xml:space="preserve"> в МКД.</w:t>
      </w:r>
    </w:p>
    <w:p w:rsidR="00407610" w:rsidRDefault="007A42AD">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Показатель тепловой энергии (39.2) в 2024 году остался на уровне по сравнению с 2023 годом в связи с умеренными температурами наружного воздуха на территории города в отчетном году. Прогнозируемый показатель на 2025-2027 годы, согласно прогнозу, останется на уровне показателей 2024 года. </w:t>
      </w: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Показатель удельной величины потребления горячей воды в многоквартирных домах (39.3) в 2024 году немного увеличился по сравнению с 2023 годом, это связано с увеличением потребителей коммунальных ресурсов. Прогнозируемые показатели объема потребления и количества потребителей данного ресурса на 2025-2027 годы останутся на уровне 2024 года. </w:t>
      </w:r>
    </w:p>
    <w:p w:rsidR="00407610" w:rsidRDefault="007A42AD">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0"/>
          <w:szCs w:val="20"/>
          <w:u w:color="FF0000"/>
        </w:rPr>
        <w:t xml:space="preserve"> </w:t>
      </w:r>
      <w:r>
        <w:rPr>
          <w:rFonts w:ascii="Times New Roman CYR" w:hAnsi="Times New Roman CYR" w:cs="Times New Roman CYR"/>
          <w:sz w:val="24"/>
          <w:szCs w:val="24"/>
          <w:u w:color="FF0000"/>
        </w:rPr>
        <w:t>Текущий показатель по холодной воде (39.4) уменьшился по сравнению с 2023 годом. Снижение удельной величины потребления и объема потребления, обусловлено установкой общедомовых и индивидуальных приборов учета потребления коммунальных ресурсов. В прогнозируемом периоде 2025-2027 годах показатель, согласно прогнозу, останется на уровне 2024 года.</w:t>
      </w:r>
    </w:p>
    <w:p w:rsidR="00407610" w:rsidRDefault="007A42AD">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Показатели удельной величины потребления природного газа равны "0", так как в городе отсутствует инфраструктура.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u w:color="FF0000"/>
        </w:rPr>
      </w:pPr>
    </w:p>
    <w:p w:rsidR="00407610" w:rsidRDefault="00407610">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407610" w:rsidRPr="006B5DE2" w:rsidRDefault="007A42AD" w:rsidP="006B5DE2">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6B5DE2">
        <w:rPr>
          <w:rFonts w:ascii="Times New Roman CYR" w:hAnsi="Times New Roman CYR" w:cs="Times New Roman CYR"/>
          <w:b/>
          <w:bCs/>
          <w:color w:val="000000"/>
          <w:sz w:val="24"/>
          <w:szCs w:val="24"/>
          <w:u w:color="FF0000"/>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u w:color="FF0000"/>
        </w:rPr>
      </w:pPr>
    </w:p>
    <w:p w:rsidR="00407610" w:rsidRDefault="007A42AD">
      <w:pPr>
        <w:widowControl w:val="0"/>
        <w:autoSpaceDE w:val="0"/>
        <w:autoSpaceDN w:val="0"/>
        <w:adjustRightInd w:val="0"/>
        <w:spacing w:after="0" w:line="240" w:lineRule="auto"/>
        <w:ind w:firstLine="686"/>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Удельная величина потребления энергетических ресурсов муниципальными бюджетными учреждениями за отчетный 2024 год:</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40.1. Электрическая энергия = 1 388 961,0 кВт/</w:t>
      </w:r>
      <w:proofErr w:type="gramStart"/>
      <w:r>
        <w:rPr>
          <w:rFonts w:ascii="Times New Roman CYR" w:hAnsi="Times New Roman CYR" w:cs="Times New Roman CYR"/>
          <w:sz w:val="24"/>
          <w:szCs w:val="24"/>
          <w:u w:color="FF0000"/>
        </w:rPr>
        <w:t>ч</w:t>
      </w:r>
      <w:proofErr w:type="gramEnd"/>
      <w:r>
        <w:rPr>
          <w:rFonts w:ascii="Times New Roman CYR" w:hAnsi="Times New Roman CYR" w:cs="Times New Roman CYR"/>
          <w:sz w:val="24"/>
          <w:szCs w:val="24"/>
          <w:u w:color="FF0000"/>
        </w:rPr>
        <w:t xml:space="preserve">/17 855 = 77,79 кВт/ч на 1 человека населения </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40.2. Тепловая энергия = 8 701,7 Гкал/ 51 321 </w:t>
      </w:r>
      <w:proofErr w:type="spellStart"/>
      <w:r>
        <w:rPr>
          <w:rFonts w:ascii="Times New Roman CYR" w:hAnsi="Times New Roman CYR" w:cs="Times New Roman CYR"/>
          <w:sz w:val="24"/>
          <w:szCs w:val="24"/>
          <w:u w:color="FF0000"/>
        </w:rPr>
        <w:t>кв.м</w:t>
      </w:r>
      <w:proofErr w:type="spellEnd"/>
      <w:r>
        <w:rPr>
          <w:rFonts w:ascii="Times New Roman CYR" w:hAnsi="Times New Roman CYR" w:cs="Times New Roman CYR"/>
          <w:sz w:val="24"/>
          <w:szCs w:val="24"/>
          <w:u w:color="FF0000"/>
        </w:rPr>
        <w:t xml:space="preserve">.= 0,17  Гкал на 1 </w:t>
      </w:r>
      <w:proofErr w:type="spellStart"/>
      <w:r>
        <w:rPr>
          <w:rFonts w:ascii="Times New Roman CYR" w:hAnsi="Times New Roman CYR" w:cs="Times New Roman CYR"/>
          <w:sz w:val="24"/>
          <w:szCs w:val="24"/>
          <w:u w:color="FF0000"/>
        </w:rPr>
        <w:t>кв</w:t>
      </w:r>
      <w:proofErr w:type="gramStart"/>
      <w:r>
        <w:rPr>
          <w:rFonts w:ascii="Times New Roman CYR" w:hAnsi="Times New Roman CYR" w:cs="Times New Roman CYR"/>
          <w:sz w:val="24"/>
          <w:szCs w:val="24"/>
          <w:u w:color="FF0000"/>
        </w:rPr>
        <w:t>.м</w:t>
      </w:r>
      <w:proofErr w:type="gramEnd"/>
      <w:r>
        <w:rPr>
          <w:rFonts w:ascii="Times New Roman CYR" w:hAnsi="Times New Roman CYR" w:cs="Times New Roman CYR"/>
          <w:sz w:val="24"/>
          <w:szCs w:val="24"/>
          <w:u w:color="FF0000"/>
        </w:rPr>
        <w:t>етр</w:t>
      </w:r>
      <w:proofErr w:type="spellEnd"/>
      <w:r>
        <w:rPr>
          <w:rFonts w:ascii="Times New Roman CYR" w:hAnsi="Times New Roman CYR" w:cs="Times New Roman CYR"/>
          <w:sz w:val="24"/>
          <w:szCs w:val="24"/>
          <w:u w:color="FF0000"/>
        </w:rPr>
        <w:t xml:space="preserve"> общей площади </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40.3. Горячей воды= 3 144,8 </w:t>
      </w:r>
      <w:proofErr w:type="spellStart"/>
      <w:r>
        <w:rPr>
          <w:rFonts w:ascii="Times New Roman CYR" w:hAnsi="Times New Roman CYR" w:cs="Times New Roman CYR"/>
          <w:sz w:val="24"/>
          <w:szCs w:val="24"/>
          <w:u w:color="FF0000"/>
        </w:rPr>
        <w:t>куб</w:t>
      </w:r>
      <w:proofErr w:type="gramStart"/>
      <w:r>
        <w:rPr>
          <w:rFonts w:ascii="Times New Roman CYR" w:hAnsi="Times New Roman CYR" w:cs="Times New Roman CYR"/>
          <w:sz w:val="24"/>
          <w:szCs w:val="24"/>
          <w:u w:color="FF0000"/>
        </w:rPr>
        <w:t>.м</w:t>
      </w:r>
      <w:proofErr w:type="spellEnd"/>
      <w:proofErr w:type="gramEnd"/>
      <w:r>
        <w:rPr>
          <w:rFonts w:ascii="Times New Roman CYR" w:hAnsi="Times New Roman CYR" w:cs="Times New Roman CYR"/>
          <w:sz w:val="24"/>
          <w:szCs w:val="24"/>
          <w:u w:color="FF0000"/>
        </w:rPr>
        <w:t xml:space="preserve">/ 17 855 чел.= 0,18 </w:t>
      </w:r>
      <w:proofErr w:type="spellStart"/>
      <w:r>
        <w:rPr>
          <w:rFonts w:ascii="Times New Roman CYR" w:hAnsi="Times New Roman CYR" w:cs="Times New Roman CYR"/>
          <w:sz w:val="24"/>
          <w:szCs w:val="24"/>
          <w:u w:color="FF0000"/>
        </w:rPr>
        <w:t>куб.м</w:t>
      </w:r>
      <w:proofErr w:type="spellEnd"/>
      <w:r>
        <w:rPr>
          <w:rFonts w:ascii="Times New Roman CYR" w:hAnsi="Times New Roman CYR" w:cs="Times New Roman CYR"/>
          <w:sz w:val="24"/>
          <w:szCs w:val="24"/>
          <w:u w:color="FF0000"/>
        </w:rPr>
        <w:t>. на 1 человека населения</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40.4. Холодная вода=10 856,1 </w:t>
      </w:r>
      <w:proofErr w:type="spellStart"/>
      <w:r>
        <w:rPr>
          <w:rFonts w:ascii="Times New Roman CYR" w:hAnsi="Times New Roman CYR" w:cs="Times New Roman CYR"/>
          <w:sz w:val="24"/>
          <w:szCs w:val="24"/>
          <w:u w:color="FF0000"/>
        </w:rPr>
        <w:t>куб.м</w:t>
      </w:r>
      <w:proofErr w:type="spellEnd"/>
      <w:r>
        <w:rPr>
          <w:rFonts w:ascii="Times New Roman CYR" w:hAnsi="Times New Roman CYR" w:cs="Times New Roman CYR"/>
          <w:sz w:val="24"/>
          <w:szCs w:val="24"/>
          <w:u w:color="FF0000"/>
        </w:rPr>
        <w:t>./17 855 чел.=0,61 куб. м. на 1 человека населения</w:t>
      </w: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lastRenderedPageBreak/>
        <w:t>40.5. Природного газа нет</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u w:color="FF0000"/>
        </w:rPr>
      </w:pP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40.1. Электрическая энергия в 2024 году увеличился по сравнению с прошлым 2023 годом, за счет возобновления использования муниципальных площадей ранее не эксплуатируемых.</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40.2. Тепловая энергия, уменьшился в 2024 году по сравнению с 2023 годом в связи с установкой счетчиков.</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color w:val="C45911"/>
          <w:sz w:val="24"/>
          <w:szCs w:val="24"/>
          <w:u w:color="FF0000"/>
        </w:rPr>
      </w:pPr>
      <w:r>
        <w:rPr>
          <w:rFonts w:ascii="Times New Roman CYR" w:hAnsi="Times New Roman CYR" w:cs="Times New Roman CYR"/>
          <w:sz w:val="24"/>
          <w:szCs w:val="24"/>
          <w:u w:color="FF0000"/>
        </w:rPr>
        <w:t>Показатель 40.3. Горячая вода в 2024 году увеличился по сравнению с прошлым 2023 годом в связи с неисправностью прибора учета горячей воды и неисправностью труб и соединений в детском учреждении.</w:t>
      </w:r>
    </w:p>
    <w:p w:rsidR="00407610" w:rsidRDefault="007A42AD">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40.4. Холодная вода в 2024 году уменьшился по сравнению с прошлым 2023 годом, в связи с установкой счетчиков.</w:t>
      </w:r>
    </w:p>
    <w:p w:rsidR="00407610" w:rsidRDefault="007A42AD">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40.5 Природный газ равен "0", так как в городе отсутствует инфраструктура.</w:t>
      </w:r>
    </w:p>
    <w:p w:rsidR="00407610" w:rsidRDefault="00407610">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p>
    <w:tbl>
      <w:tblPr>
        <w:tblW w:w="0" w:type="auto"/>
        <w:tblLayout w:type="fixed"/>
        <w:tblCellMar>
          <w:left w:w="30" w:type="dxa"/>
          <w:right w:w="30" w:type="dxa"/>
        </w:tblCellMar>
        <w:tblLook w:val="0000" w:firstRow="0" w:lastRow="0" w:firstColumn="0" w:lastColumn="0" w:noHBand="0" w:noVBand="0"/>
      </w:tblPr>
      <w:tblGrid>
        <w:gridCol w:w="3782"/>
        <w:gridCol w:w="1148"/>
        <w:gridCol w:w="1147"/>
        <w:gridCol w:w="1115"/>
        <w:gridCol w:w="1131"/>
        <w:gridCol w:w="1164"/>
      </w:tblGrid>
      <w:tr w:rsidR="00407610" w:rsidRPr="007A42AD">
        <w:trPr>
          <w:trHeight w:val="287"/>
        </w:trPr>
        <w:tc>
          <w:tcPr>
            <w:tcW w:w="3782" w:type="dxa"/>
            <w:tcBorders>
              <w:top w:val="nil"/>
              <w:left w:val="nil"/>
              <w:bottom w:val="nil"/>
              <w:right w:val="nil"/>
            </w:tcBorders>
          </w:tcPr>
          <w:p w:rsidR="00407610" w:rsidRPr="007A42AD" w:rsidRDefault="00407610">
            <w:pPr>
              <w:widowControl w:val="0"/>
              <w:autoSpaceDE w:val="0"/>
              <w:autoSpaceDN w:val="0"/>
              <w:adjustRightInd w:val="0"/>
              <w:spacing w:after="0" w:line="240" w:lineRule="auto"/>
              <w:jc w:val="right"/>
              <w:rPr>
                <w:rFonts w:cs="Calibri"/>
                <w:color w:val="000000"/>
                <w:u w:color="FF0000"/>
              </w:rPr>
            </w:pPr>
          </w:p>
        </w:tc>
        <w:tc>
          <w:tcPr>
            <w:tcW w:w="1148" w:type="dxa"/>
            <w:tcBorders>
              <w:top w:val="nil"/>
              <w:left w:val="nil"/>
              <w:bottom w:val="nil"/>
              <w:right w:val="nil"/>
            </w:tcBorders>
          </w:tcPr>
          <w:p w:rsidR="00407610" w:rsidRPr="007A42AD" w:rsidRDefault="00407610">
            <w:pPr>
              <w:widowControl w:val="0"/>
              <w:autoSpaceDE w:val="0"/>
              <w:autoSpaceDN w:val="0"/>
              <w:adjustRightInd w:val="0"/>
              <w:spacing w:after="0" w:line="240" w:lineRule="auto"/>
              <w:jc w:val="right"/>
              <w:rPr>
                <w:rFonts w:cs="Calibri"/>
                <w:color w:val="000000"/>
                <w:u w:color="FF0000"/>
              </w:rPr>
            </w:pPr>
          </w:p>
        </w:tc>
        <w:tc>
          <w:tcPr>
            <w:tcW w:w="1147" w:type="dxa"/>
            <w:tcBorders>
              <w:top w:val="nil"/>
              <w:left w:val="nil"/>
              <w:bottom w:val="nil"/>
              <w:right w:val="nil"/>
            </w:tcBorders>
          </w:tcPr>
          <w:p w:rsidR="00407610" w:rsidRPr="007A42AD" w:rsidRDefault="00407610">
            <w:pPr>
              <w:widowControl w:val="0"/>
              <w:autoSpaceDE w:val="0"/>
              <w:autoSpaceDN w:val="0"/>
              <w:adjustRightInd w:val="0"/>
              <w:spacing w:after="0" w:line="240" w:lineRule="auto"/>
              <w:jc w:val="right"/>
              <w:rPr>
                <w:rFonts w:cs="Calibri"/>
                <w:color w:val="000000"/>
                <w:u w:color="FF0000"/>
              </w:rPr>
            </w:pPr>
          </w:p>
        </w:tc>
        <w:tc>
          <w:tcPr>
            <w:tcW w:w="1115" w:type="dxa"/>
            <w:tcBorders>
              <w:top w:val="nil"/>
              <w:left w:val="nil"/>
              <w:bottom w:val="nil"/>
              <w:right w:val="nil"/>
            </w:tcBorders>
          </w:tcPr>
          <w:p w:rsidR="00407610" w:rsidRPr="007A42AD" w:rsidRDefault="00407610">
            <w:pPr>
              <w:widowControl w:val="0"/>
              <w:autoSpaceDE w:val="0"/>
              <w:autoSpaceDN w:val="0"/>
              <w:adjustRightInd w:val="0"/>
              <w:spacing w:after="0" w:line="240" w:lineRule="auto"/>
              <w:jc w:val="right"/>
              <w:rPr>
                <w:rFonts w:cs="Calibri"/>
                <w:color w:val="000000"/>
                <w:u w:color="FF0000"/>
              </w:rPr>
            </w:pPr>
          </w:p>
        </w:tc>
        <w:tc>
          <w:tcPr>
            <w:tcW w:w="1131" w:type="dxa"/>
            <w:tcBorders>
              <w:top w:val="nil"/>
              <w:left w:val="nil"/>
              <w:bottom w:val="nil"/>
              <w:right w:val="nil"/>
            </w:tcBorders>
          </w:tcPr>
          <w:p w:rsidR="00407610" w:rsidRPr="007A42AD" w:rsidRDefault="00407610">
            <w:pPr>
              <w:widowControl w:val="0"/>
              <w:autoSpaceDE w:val="0"/>
              <w:autoSpaceDN w:val="0"/>
              <w:adjustRightInd w:val="0"/>
              <w:spacing w:after="0" w:line="240" w:lineRule="auto"/>
              <w:jc w:val="right"/>
              <w:rPr>
                <w:rFonts w:cs="Calibri"/>
                <w:color w:val="000000"/>
                <w:u w:color="FF0000"/>
              </w:rPr>
            </w:pPr>
          </w:p>
        </w:tc>
        <w:tc>
          <w:tcPr>
            <w:tcW w:w="1164" w:type="dxa"/>
            <w:tcBorders>
              <w:top w:val="nil"/>
              <w:left w:val="nil"/>
              <w:bottom w:val="nil"/>
              <w:right w:val="nil"/>
            </w:tcBorders>
          </w:tcPr>
          <w:p w:rsidR="00407610" w:rsidRPr="007A42AD" w:rsidRDefault="00407610">
            <w:pPr>
              <w:widowControl w:val="0"/>
              <w:autoSpaceDE w:val="0"/>
              <w:autoSpaceDN w:val="0"/>
              <w:adjustRightInd w:val="0"/>
              <w:spacing w:after="0" w:line="240" w:lineRule="auto"/>
              <w:jc w:val="right"/>
              <w:rPr>
                <w:rFonts w:cs="Calibri"/>
                <w:color w:val="000000"/>
                <w:u w:color="FF0000"/>
              </w:rPr>
            </w:pPr>
          </w:p>
        </w:tc>
      </w:tr>
      <w:tr w:rsidR="00407610" w:rsidRPr="007A42AD">
        <w:trPr>
          <w:trHeight w:val="405"/>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Наименование показателя и единицы измерения</w:t>
            </w:r>
          </w:p>
        </w:tc>
        <w:tc>
          <w:tcPr>
            <w:tcW w:w="2295" w:type="dxa"/>
            <w:gridSpan w:val="2"/>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Значения показателя</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407610">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407610">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407610">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r>
      <w:tr w:rsidR="00407610" w:rsidRPr="007A42AD">
        <w:trPr>
          <w:trHeight w:val="665"/>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407610">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p>
        </w:tc>
        <w:tc>
          <w:tcPr>
            <w:tcW w:w="1148"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2023 факт</w:t>
            </w:r>
          </w:p>
        </w:tc>
        <w:tc>
          <w:tcPr>
            <w:tcW w:w="1147"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2024 факт</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2025 оценка</w:t>
            </w: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2026 прогноз</w:t>
            </w: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2027 прогноз</w:t>
            </w:r>
          </w:p>
        </w:tc>
      </w:tr>
      <w:tr w:rsidR="00407610" w:rsidRPr="007A42AD">
        <w:trPr>
          <w:trHeight w:val="789"/>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 xml:space="preserve">40.1. Потребление электрической энергии, </w:t>
            </w:r>
            <w:proofErr w:type="spellStart"/>
            <w:r w:rsidRPr="007A42AD">
              <w:rPr>
                <w:rFonts w:ascii="Times New Roman CYR" w:hAnsi="Times New Roman CYR" w:cs="Times New Roman CYR"/>
                <w:b/>
                <w:bCs/>
                <w:color w:val="000000"/>
                <w:sz w:val="20"/>
                <w:szCs w:val="20"/>
                <w:u w:color="FF0000"/>
              </w:rPr>
              <w:t>кВт·</w:t>
            </w:r>
            <w:proofErr w:type="gramStart"/>
            <w:r w:rsidRPr="007A42AD">
              <w:rPr>
                <w:rFonts w:ascii="Times New Roman CYR" w:hAnsi="Times New Roman CYR" w:cs="Times New Roman CYR"/>
                <w:b/>
                <w:bCs/>
                <w:color w:val="000000"/>
                <w:sz w:val="20"/>
                <w:szCs w:val="20"/>
                <w:u w:color="FF0000"/>
              </w:rPr>
              <w:t>ч</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71,94</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77,79</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77,66</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77,50</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77,32</w:t>
            </w:r>
          </w:p>
        </w:tc>
      </w:tr>
      <w:tr w:rsidR="00407610" w:rsidRPr="007A42AD">
        <w:trPr>
          <w:trHeight w:val="960"/>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 xml:space="preserve">объем потребленной (израсходованной) электрической энергии муниципальными учреждениями, </w:t>
            </w:r>
            <w:proofErr w:type="spellStart"/>
            <w:r w:rsidRPr="007A42AD">
              <w:rPr>
                <w:rFonts w:ascii="Times New Roman CYR" w:hAnsi="Times New Roman CYR" w:cs="Times New Roman CYR"/>
                <w:color w:val="000000"/>
                <w:sz w:val="20"/>
                <w:szCs w:val="20"/>
                <w:u w:color="FF0000"/>
              </w:rPr>
              <w:t>кВтч</w:t>
            </w:r>
            <w:proofErr w:type="spellEnd"/>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1 276 900,00</w:t>
            </w:r>
          </w:p>
        </w:tc>
        <w:tc>
          <w:tcPr>
            <w:tcW w:w="1147"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1 388 961,00</w:t>
            </w:r>
          </w:p>
        </w:tc>
        <w:tc>
          <w:tcPr>
            <w:tcW w:w="1115"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1 388 961,00</w:t>
            </w:r>
          </w:p>
        </w:tc>
        <w:tc>
          <w:tcPr>
            <w:tcW w:w="1131"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1 388 961,00</w:t>
            </w:r>
          </w:p>
        </w:tc>
        <w:tc>
          <w:tcPr>
            <w:tcW w:w="1164"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1 388 961,00</w:t>
            </w:r>
          </w:p>
        </w:tc>
      </w:tr>
      <w:tr w:rsidR="00407610" w:rsidRPr="007A42AD">
        <w:trPr>
          <w:trHeight w:val="1189"/>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b/>
                <w:bCs/>
                <w:color w:val="993300"/>
                <w:sz w:val="20"/>
                <w:szCs w:val="20"/>
                <w:u w:color="FF0000"/>
              </w:rPr>
              <w:t>среднегодовая</w:t>
            </w:r>
            <w:r w:rsidRPr="007A42AD">
              <w:rPr>
                <w:rFonts w:ascii="Times New Roman CYR" w:hAnsi="Times New Roman CYR" w:cs="Times New Roman CYR"/>
                <w:color w:val="000000"/>
                <w:sz w:val="20"/>
                <w:szCs w:val="20"/>
                <w:u w:color="FF0000"/>
              </w:rPr>
              <w:t xml:space="preserve"> численность постоянного населения муниципального, городского округа (муниципального района), чел.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17749</w:t>
            </w:r>
          </w:p>
        </w:tc>
        <w:tc>
          <w:tcPr>
            <w:tcW w:w="1147"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17855</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17885</w:t>
            </w: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17921</w:t>
            </w: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17963</w:t>
            </w:r>
          </w:p>
        </w:tc>
      </w:tr>
      <w:tr w:rsidR="00407610" w:rsidRPr="007A42AD">
        <w:trPr>
          <w:trHeight w:val="745"/>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40.2. Потребление тепловой энергии, Гкал на 1 кв. метр общей площади</w:t>
            </w:r>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0,18</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0,17</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0,17</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0,17</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0,17</w:t>
            </w:r>
          </w:p>
        </w:tc>
      </w:tr>
      <w:tr w:rsidR="00407610" w:rsidRPr="007A42AD">
        <w:trPr>
          <w:trHeight w:val="1004"/>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суммарное количество тепловой энергии, потребленной муниципальными учреждениями, Гкал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9034,30</w:t>
            </w:r>
          </w:p>
        </w:tc>
        <w:tc>
          <w:tcPr>
            <w:tcW w:w="1147"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8 707,7</w:t>
            </w:r>
          </w:p>
        </w:tc>
        <w:tc>
          <w:tcPr>
            <w:tcW w:w="1115"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8 707,7</w:t>
            </w:r>
          </w:p>
        </w:tc>
        <w:tc>
          <w:tcPr>
            <w:tcW w:w="1131"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8 707,7</w:t>
            </w:r>
          </w:p>
        </w:tc>
        <w:tc>
          <w:tcPr>
            <w:tcW w:w="1164"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8 707,7</w:t>
            </w:r>
          </w:p>
        </w:tc>
      </w:tr>
      <w:tr w:rsidR="00407610" w:rsidRPr="007A42AD">
        <w:trPr>
          <w:trHeight w:val="557"/>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 xml:space="preserve">общая площадь муниципальных учреждений, </w:t>
            </w:r>
            <w:proofErr w:type="spellStart"/>
            <w:r w:rsidRPr="007A42AD">
              <w:rPr>
                <w:rFonts w:ascii="Times New Roman CYR" w:hAnsi="Times New Roman CYR" w:cs="Times New Roman CYR"/>
                <w:color w:val="000000"/>
                <w:sz w:val="20"/>
                <w:szCs w:val="20"/>
                <w:u w:color="FF0000"/>
              </w:rPr>
              <w:t>кв</w:t>
            </w:r>
            <w:proofErr w:type="gramStart"/>
            <w:r w:rsidRPr="007A42AD">
              <w:rPr>
                <w:rFonts w:ascii="Times New Roman CYR" w:hAnsi="Times New Roman CYR" w:cs="Times New Roman CYR"/>
                <w:color w:val="000000"/>
                <w:sz w:val="20"/>
                <w:szCs w:val="20"/>
                <w:u w:color="FF0000"/>
              </w:rPr>
              <w:t>.м</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51 073,00</w:t>
            </w:r>
          </w:p>
        </w:tc>
        <w:tc>
          <w:tcPr>
            <w:tcW w:w="1147"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51 321,00</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51 321,00</w:t>
            </w: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51 321,00</w:t>
            </w: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51 321,00</w:t>
            </w:r>
          </w:p>
        </w:tc>
      </w:tr>
      <w:tr w:rsidR="00407610" w:rsidRPr="007A42AD">
        <w:trPr>
          <w:trHeight w:val="502"/>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40.3. Потребление горячей воды, куб. м</w:t>
            </w:r>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0,12</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0,18</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0,18</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0,18</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0,18</w:t>
            </w:r>
          </w:p>
        </w:tc>
      </w:tr>
      <w:tr w:rsidR="00407610" w:rsidRPr="007A42AD">
        <w:trPr>
          <w:trHeight w:val="902"/>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 xml:space="preserve">объем потребленной (израсходованной) горячей воды муниципальными учреждениями, </w:t>
            </w:r>
            <w:proofErr w:type="spellStart"/>
            <w:r w:rsidRPr="007A42AD">
              <w:rPr>
                <w:rFonts w:ascii="Times New Roman CYR" w:hAnsi="Times New Roman CYR" w:cs="Times New Roman CYR"/>
                <w:color w:val="000000"/>
                <w:sz w:val="20"/>
                <w:szCs w:val="20"/>
                <w:u w:color="FF0000"/>
              </w:rPr>
              <w:t>куб</w:t>
            </w:r>
            <w:proofErr w:type="gramStart"/>
            <w:r w:rsidRPr="007A42AD">
              <w:rPr>
                <w:rFonts w:ascii="Times New Roman CYR" w:hAnsi="Times New Roman CYR" w:cs="Times New Roman CYR"/>
                <w:color w:val="000000"/>
                <w:sz w:val="20"/>
                <w:szCs w:val="20"/>
                <w:u w:color="FF0000"/>
              </w:rPr>
              <w:t>.м</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2 163,30</w:t>
            </w:r>
          </w:p>
        </w:tc>
        <w:tc>
          <w:tcPr>
            <w:tcW w:w="1147"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3 144,8</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3 144,8</w:t>
            </w: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3 144,8</w:t>
            </w: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3 144,8</w:t>
            </w:r>
          </w:p>
        </w:tc>
      </w:tr>
      <w:tr w:rsidR="00407610" w:rsidRPr="007A42AD">
        <w:trPr>
          <w:trHeight w:val="1059"/>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b/>
                <w:bCs/>
                <w:color w:val="993300"/>
                <w:sz w:val="20"/>
                <w:szCs w:val="20"/>
                <w:u w:color="FF0000"/>
              </w:rPr>
              <w:t>среднегодовая</w:t>
            </w:r>
            <w:r w:rsidRPr="007A42AD">
              <w:rPr>
                <w:rFonts w:ascii="Times New Roman CYR" w:hAnsi="Times New Roman CYR" w:cs="Times New Roman CYR"/>
                <w:color w:val="000000"/>
                <w:sz w:val="20"/>
                <w:szCs w:val="20"/>
                <w:u w:color="FF0000"/>
              </w:rPr>
              <w:t xml:space="preserve"> численность постоянного населения муниципального, городского округа (муниципального района), чел.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17749</w:t>
            </w:r>
          </w:p>
        </w:tc>
        <w:tc>
          <w:tcPr>
            <w:tcW w:w="1147"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17855</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17885</w:t>
            </w: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17921</w:t>
            </w: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17963</w:t>
            </w:r>
          </w:p>
        </w:tc>
      </w:tr>
      <w:tr w:rsidR="00407610" w:rsidRPr="007A42AD">
        <w:trPr>
          <w:trHeight w:val="615"/>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lastRenderedPageBreak/>
              <w:t>40.4. Потребление холодной воды, куб. м</w:t>
            </w:r>
          </w:p>
        </w:tc>
        <w:tc>
          <w:tcPr>
            <w:tcW w:w="1148"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0,74</w:t>
            </w:r>
          </w:p>
        </w:tc>
        <w:tc>
          <w:tcPr>
            <w:tcW w:w="1147"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0,61</w:t>
            </w:r>
          </w:p>
        </w:tc>
        <w:tc>
          <w:tcPr>
            <w:tcW w:w="1115"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0,61</w:t>
            </w:r>
          </w:p>
        </w:tc>
        <w:tc>
          <w:tcPr>
            <w:tcW w:w="1131"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0,61</w:t>
            </w:r>
          </w:p>
        </w:tc>
        <w:tc>
          <w:tcPr>
            <w:tcW w:w="1164" w:type="dxa"/>
            <w:tcBorders>
              <w:top w:val="single" w:sz="6" w:space="0" w:color="FFFFFF"/>
              <w:left w:val="single" w:sz="6" w:space="0" w:color="FFFFFF"/>
              <w:bottom w:val="single" w:sz="6" w:space="0" w:color="FFFFFF"/>
              <w:right w:val="single" w:sz="6" w:space="0" w:color="FFFFFF"/>
            </w:tcBorders>
            <w:shd w:val="solid" w:color="C0C0C0"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sidRPr="007A42AD">
              <w:rPr>
                <w:rFonts w:ascii="Times New Roman CYR" w:hAnsi="Times New Roman CYR" w:cs="Times New Roman CYR"/>
                <w:b/>
                <w:bCs/>
                <w:color w:val="000000"/>
                <w:sz w:val="20"/>
                <w:szCs w:val="20"/>
                <w:u w:color="FF0000"/>
              </w:rPr>
              <w:t>0,60</w:t>
            </w:r>
          </w:p>
        </w:tc>
      </w:tr>
      <w:tr w:rsidR="00407610" w:rsidRPr="007A42AD">
        <w:trPr>
          <w:trHeight w:val="933"/>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 xml:space="preserve">объем потребленной (израсходованной) холодной воды муниципальными учреждениями, </w:t>
            </w:r>
            <w:proofErr w:type="spellStart"/>
            <w:r w:rsidRPr="007A42AD">
              <w:rPr>
                <w:rFonts w:ascii="Times New Roman CYR" w:hAnsi="Times New Roman CYR" w:cs="Times New Roman CYR"/>
                <w:color w:val="000000"/>
                <w:sz w:val="20"/>
                <w:szCs w:val="20"/>
                <w:u w:color="FF0000"/>
              </w:rPr>
              <w:t>куб</w:t>
            </w:r>
            <w:proofErr w:type="gramStart"/>
            <w:r w:rsidRPr="007A42AD">
              <w:rPr>
                <w:rFonts w:ascii="Times New Roman CYR" w:hAnsi="Times New Roman CYR" w:cs="Times New Roman CYR"/>
                <w:color w:val="000000"/>
                <w:sz w:val="20"/>
                <w:szCs w:val="20"/>
                <w:u w:color="FF0000"/>
              </w:rPr>
              <w:t>.м</w:t>
            </w:r>
            <w:proofErr w:type="spellEnd"/>
            <w:proofErr w:type="gramEnd"/>
          </w:p>
        </w:tc>
        <w:tc>
          <w:tcPr>
            <w:tcW w:w="1148"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13 158,80</w:t>
            </w:r>
          </w:p>
        </w:tc>
        <w:tc>
          <w:tcPr>
            <w:tcW w:w="1147"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10 856,10</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10 856,10</w:t>
            </w: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10 856,10</w:t>
            </w: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10 856,10</w:t>
            </w:r>
          </w:p>
        </w:tc>
      </w:tr>
      <w:tr w:rsidR="00407610" w:rsidRPr="007A42AD">
        <w:trPr>
          <w:trHeight w:val="1203"/>
        </w:trPr>
        <w:tc>
          <w:tcPr>
            <w:tcW w:w="3782"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rPr>
                <w:rFonts w:ascii="Times New Roman CYR" w:hAnsi="Times New Roman CYR" w:cs="Times New Roman CYR"/>
                <w:color w:val="000000"/>
                <w:sz w:val="20"/>
                <w:szCs w:val="20"/>
                <w:u w:color="FF0000"/>
              </w:rPr>
            </w:pPr>
            <w:r w:rsidRPr="007A42AD">
              <w:rPr>
                <w:rFonts w:ascii="Times New Roman CYR" w:hAnsi="Times New Roman CYR" w:cs="Times New Roman CYR"/>
                <w:b/>
                <w:bCs/>
                <w:color w:val="993300"/>
                <w:sz w:val="20"/>
                <w:szCs w:val="20"/>
                <w:u w:color="FF0000"/>
              </w:rPr>
              <w:t>среднегодовая</w:t>
            </w:r>
            <w:r w:rsidRPr="007A42AD">
              <w:rPr>
                <w:rFonts w:ascii="Times New Roman CYR" w:hAnsi="Times New Roman CYR" w:cs="Times New Roman CYR"/>
                <w:color w:val="000000"/>
                <w:sz w:val="20"/>
                <w:szCs w:val="20"/>
                <w:u w:color="FF0000"/>
              </w:rPr>
              <w:t xml:space="preserve"> численность постоянного населения муниципального, городского округа (муниципального района), чел.</w:t>
            </w:r>
          </w:p>
        </w:tc>
        <w:tc>
          <w:tcPr>
            <w:tcW w:w="1148" w:type="dxa"/>
            <w:tcBorders>
              <w:top w:val="single" w:sz="6" w:space="0" w:color="FFFFFF"/>
              <w:left w:val="single" w:sz="6" w:space="0" w:color="FFFFFF"/>
              <w:bottom w:val="single" w:sz="6" w:space="0" w:color="FFFFFF"/>
              <w:right w:val="single" w:sz="6" w:space="0" w:color="FFFFFF"/>
            </w:tcBorders>
            <w:shd w:val="solid" w:color="FFFFFF" w:fill="FFFFFF"/>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17749</w:t>
            </w:r>
          </w:p>
        </w:tc>
        <w:tc>
          <w:tcPr>
            <w:tcW w:w="1147"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17855</w:t>
            </w:r>
          </w:p>
        </w:tc>
        <w:tc>
          <w:tcPr>
            <w:tcW w:w="1115"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17885</w:t>
            </w:r>
          </w:p>
        </w:tc>
        <w:tc>
          <w:tcPr>
            <w:tcW w:w="1131"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17921</w:t>
            </w:r>
          </w:p>
        </w:tc>
        <w:tc>
          <w:tcPr>
            <w:tcW w:w="1164" w:type="dxa"/>
            <w:tcBorders>
              <w:top w:val="single" w:sz="6" w:space="0" w:color="FFFFFF"/>
              <w:left w:val="single" w:sz="6" w:space="0" w:color="FFFFFF"/>
              <w:bottom w:val="single" w:sz="6" w:space="0" w:color="FFFFFF"/>
              <w:right w:val="single" w:sz="6" w:space="0" w:color="FFFFFF"/>
            </w:tcBorders>
          </w:tcPr>
          <w:p w:rsidR="00407610" w:rsidRPr="007A42AD" w:rsidRDefault="007A42AD">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sidRPr="007A42AD">
              <w:rPr>
                <w:rFonts w:ascii="Times New Roman CYR" w:hAnsi="Times New Roman CYR" w:cs="Times New Roman CYR"/>
                <w:color w:val="000000"/>
                <w:sz w:val="20"/>
                <w:szCs w:val="20"/>
                <w:u w:color="FF0000"/>
              </w:rPr>
              <w:t>17963</w:t>
            </w:r>
          </w:p>
        </w:tc>
      </w:tr>
    </w:tbl>
    <w:p w:rsidR="00407610" w:rsidRDefault="00407610">
      <w:pPr>
        <w:widowControl w:val="0"/>
        <w:autoSpaceDE w:val="0"/>
        <w:autoSpaceDN w:val="0"/>
        <w:adjustRightInd w:val="0"/>
        <w:spacing w:after="0" w:line="240" w:lineRule="auto"/>
        <w:rPr>
          <w:rFonts w:ascii="Times New Roman CYR" w:hAnsi="Times New Roman CYR" w:cs="Times New Roman CYR"/>
          <w:sz w:val="24"/>
          <w:szCs w:val="24"/>
          <w:u w:color="FF0000"/>
        </w:rPr>
      </w:pPr>
    </w:p>
    <w:p w:rsidR="00407610" w:rsidRPr="000D1373" w:rsidRDefault="007A42AD" w:rsidP="000D1373">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bookmarkStart w:id="0" w:name="_GoBack"/>
      <w:bookmarkEnd w:id="0"/>
      <w:r w:rsidRPr="000D1373">
        <w:rPr>
          <w:rFonts w:ascii="Times New Roman CYR" w:hAnsi="Times New Roman CYR" w:cs="Times New Roman CYR"/>
          <w:b/>
          <w:bCs/>
          <w:color w:val="000000"/>
          <w:sz w:val="24"/>
          <w:szCs w:val="24"/>
          <w:u w:color="FF0000"/>
        </w:rPr>
        <w:t>X. Независимая оценка</w:t>
      </w:r>
    </w:p>
    <w:p w:rsidR="00407610" w:rsidRPr="000D1373" w:rsidRDefault="00407610" w:rsidP="000D1373">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p>
    <w:p w:rsidR="00407610" w:rsidRPr="000D1373" w:rsidRDefault="007A42AD" w:rsidP="000D1373">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0D1373">
        <w:rPr>
          <w:rFonts w:ascii="Times New Roman CYR" w:hAnsi="Times New Roman CYR" w:cs="Times New Roman CYR"/>
          <w:b/>
          <w:bCs/>
          <w:color w:val="000000"/>
          <w:sz w:val="24"/>
          <w:szCs w:val="24"/>
          <w:u w:color="FF0000"/>
        </w:rPr>
        <w:t xml:space="preserve">41. </w:t>
      </w:r>
      <w:proofErr w:type="gramStart"/>
      <w:r w:rsidRPr="000D1373">
        <w:rPr>
          <w:rFonts w:ascii="Times New Roman CYR" w:hAnsi="Times New Roman CYR" w:cs="Times New Roman CYR"/>
          <w:b/>
          <w:bCs/>
          <w:color w:val="000000"/>
          <w:sz w:val="24"/>
          <w:szCs w:val="24"/>
          <w:u w:color="FF0000"/>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0D1373">
        <w:rPr>
          <w:rFonts w:ascii="Times New Roman" w:hAnsi="Times New Roman"/>
          <w:b/>
          <w:bCs/>
          <w:color w:val="000000"/>
          <w:sz w:val="24"/>
          <w:szCs w:val="24"/>
          <w:u w:color="FF0000"/>
        </w:rPr>
        <w:t>«</w:t>
      </w:r>
      <w:r w:rsidRPr="000D1373">
        <w:rPr>
          <w:rFonts w:ascii="Times New Roman CYR" w:hAnsi="Times New Roman CYR" w:cs="Times New Roman CYR"/>
          <w:b/>
          <w:bCs/>
          <w:color w:val="000000"/>
          <w:sz w:val="24"/>
          <w:szCs w:val="24"/>
          <w:u w:color="FF0000"/>
        </w:rPr>
        <w:t>Интернет</w:t>
      </w:r>
      <w:r w:rsidRPr="000D1373">
        <w:rPr>
          <w:rFonts w:ascii="Times New Roman" w:hAnsi="Times New Roman"/>
          <w:b/>
          <w:bCs/>
          <w:color w:val="000000"/>
          <w:sz w:val="24"/>
          <w:szCs w:val="24"/>
          <w:u w:color="FF0000"/>
        </w:rPr>
        <w:t>») (</w:t>
      </w:r>
      <w:r w:rsidRPr="000D1373">
        <w:rPr>
          <w:rFonts w:ascii="Times New Roman CYR" w:hAnsi="Times New Roman CYR" w:cs="Times New Roman CYR"/>
          <w:b/>
          <w:bCs/>
          <w:color w:val="000000"/>
          <w:sz w:val="24"/>
          <w:szCs w:val="24"/>
          <w:u w:color="FF0000"/>
        </w:rPr>
        <w:t>при наличии)</w:t>
      </w:r>
      <w:proofErr w:type="gramEnd"/>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u w:color="FF0000"/>
        </w:rPr>
      </w:pPr>
    </w:p>
    <w:p w:rsidR="00407610" w:rsidRDefault="007A42AD">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r>
      <w:proofErr w:type="gramStart"/>
      <w:r>
        <w:rPr>
          <w:rFonts w:ascii="Times New Roman CYR" w:hAnsi="Times New Roman CYR" w:cs="Times New Roman CYR"/>
          <w:sz w:val="24"/>
          <w:szCs w:val="24"/>
          <w:u w:color="FF0000"/>
        </w:rPr>
        <w:t>В соответствии с Федеральным законом от 05.12.2017 №392-ФЗ "О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период прохождения независимой оценки - не реже 1 раза в 3 года.</w:t>
      </w:r>
      <w:proofErr w:type="gramEnd"/>
    </w:p>
    <w:p w:rsidR="00407610" w:rsidRDefault="007A42AD">
      <w:pPr>
        <w:autoSpaceDE w:val="0"/>
        <w:autoSpaceDN w:val="0"/>
        <w:adjustRightInd w:val="0"/>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r>
    </w:p>
    <w:p w:rsidR="00407610" w:rsidRDefault="007A42AD">
      <w:pPr>
        <w:autoSpaceDE w:val="0"/>
        <w:autoSpaceDN w:val="0"/>
        <w:adjustRightInd w:val="0"/>
        <w:ind w:firstLine="708"/>
        <w:jc w:val="both"/>
        <w:rPr>
          <w:rFonts w:ascii="Times New Roman CYR" w:hAnsi="Times New Roman CYR" w:cs="Times New Roman CYR"/>
          <w:sz w:val="18"/>
          <w:szCs w:val="18"/>
          <w:u w:color="FF0000"/>
        </w:rPr>
      </w:pPr>
      <w:r>
        <w:rPr>
          <w:rFonts w:ascii="Times New Roman CYR" w:hAnsi="Times New Roman CYR" w:cs="Times New Roman CYR"/>
          <w:sz w:val="24"/>
          <w:szCs w:val="24"/>
          <w:u w:color="FF0000"/>
        </w:rPr>
        <w:t>Учреждения культуры в 2024 году не проходили независимую оценку качества.</w:t>
      </w:r>
    </w:p>
    <w:p w:rsidR="00407610" w:rsidRDefault="007A42AD">
      <w:pPr>
        <w:autoSpaceDE w:val="0"/>
        <w:autoSpaceDN w:val="0"/>
        <w:adjustRightInd w:val="0"/>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Учреждения образования в 2024 году не проходили независимую оценку качества.</w:t>
      </w:r>
    </w:p>
    <w:p w:rsidR="00407610" w:rsidRDefault="00407610">
      <w:pPr>
        <w:widowControl w:val="0"/>
        <w:autoSpaceDE w:val="0"/>
        <w:autoSpaceDN w:val="0"/>
        <w:adjustRightInd w:val="0"/>
        <w:spacing w:after="0" w:line="240" w:lineRule="auto"/>
        <w:rPr>
          <w:rFonts w:ascii="Times New Roman CYR" w:hAnsi="Times New Roman CYR" w:cs="Times New Roman CYR"/>
          <w:sz w:val="24"/>
          <w:szCs w:val="24"/>
          <w:u w:color="FF0000"/>
        </w:rPr>
      </w:pPr>
    </w:p>
    <w:p w:rsidR="007A42AD" w:rsidRDefault="007A42AD">
      <w:pPr>
        <w:widowControl w:val="0"/>
        <w:autoSpaceDE w:val="0"/>
        <w:autoSpaceDN w:val="0"/>
        <w:adjustRightInd w:val="0"/>
        <w:spacing w:after="0" w:line="240" w:lineRule="auto"/>
        <w:rPr>
          <w:rFonts w:ascii="Times New Roman CYR" w:hAnsi="Times New Roman CYR" w:cs="Times New Roman CYR"/>
          <w:sz w:val="24"/>
          <w:szCs w:val="24"/>
          <w:u w:color="FF0000"/>
        </w:rPr>
      </w:pPr>
    </w:p>
    <w:sectPr w:rsidR="007A42AD" w:rsidSect="00335081">
      <w:pgSz w:w="12240" w:h="15840"/>
      <w:pgMar w:top="1134"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FFB"/>
    <w:rsid w:val="000D1373"/>
    <w:rsid w:val="00335081"/>
    <w:rsid w:val="00407610"/>
    <w:rsid w:val="004D4C9C"/>
    <w:rsid w:val="006B5DE2"/>
    <w:rsid w:val="007A42AD"/>
    <w:rsid w:val="00A10A93"/>
    <w:rsid w:val="00EF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7996</Words>
  <Characters>45582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КатяКатерина</dc:creator>
  <cp:lastModifiedBy>КатяКатерина</cp:lastModifiedBy>
  <cp:revision>4</cp:revision>
  <dcterms:created xsi:type="dcterms:W3CDTF">2025-04-29T04:14:00Z</dcterms:created>
  <dcterms:modified xsi:type="dcterms:W3CDTF">2025-04-29T04:52:00Z</dcterms:modified>
</cp:coreProperties>
</file>